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03FB">
      <w:pPr>
        <w:widowControl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海委信息中心综合性</w:t>
      </w:r>
      <w:r>
        <w:rPr>
          <w:rFonts w:hint="eastAsia" w:ascii="黑体" w:hAnsi="黑体" w:eastAsia="黑体"/>
          <w:sz w:val="36"/>
          <w:szCs w:val="36"/>
        </w:rPr>
        <w:t>涉企收费</w:t>
      </w:r>
      <w:r>
        <w:rPr>
          <w:rFonts w:hint="eastAsia" w:ascii="黑体" w:hAnsi="黑体" w:eastAsia="黑体"/>
          <w:sz w:val="36"/>
          <w:szCs w:val="36"/>
          <w:lang w:eastAsia="zh-CN"/>
        </w:rPr>
        <w:t>目录清单</w:t>
      </w:r>
    </w:p>
    <w:p w14:paraId="1AB8F3CF">
      <w:pPr>
        <w:widowControl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tbl>
      <w:tblPr>
        <w:tblStyle w:val="5"/>
        <w:tblW w:w="13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95"/>
        <w:gridCol w:w="1665"/>
        <w:gridCol w:w="1275"/>
        <w:gridCol w:w="1380"/>
        <w:gridCol w:w="1467"/>
        <w:gridCol w:w="1500"/>
        <w:gridCol w:w="1230"/>
        <w:gridCol w:w="1425"/>
        <w:gridCol w:w="1245"/>
        <w:gridCol w:w="485"/>
      </w:tblGrid>
      <w:tr w14:paraId="0412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noWrap w:val="0"/>
            <w:vAlign w:val="center"/>
          </w:tcPr>
          <w:p w14:paraId="516D2FDC"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 w14:paraId="15E4C8D7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部门名称</w:t>
            </w:r>
          </w:p>
        </w:tc>
        <w:tc>
          <w:tcPr>
            <w:tcW w:w="1665" w:type="dxa"/>
            <w:noWrap w:val="0"/>
            <w:vAlign w:val="center"/>
          </w:tcPr>
          <w:p w14:paraId="2D0CE2CB">
            <w:pPr>
              <w:widowControl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收费单位名称</w:t>
            </w:r>
          </w:p>
        </w:tc>
        <w:tc>
          <w:tcPr>
            <w:tcW w:w="1275" w:type="dxa"/>
            <w:noWrap w:val="0"/>
            <w:vAlign w:val="center"/>
          </w:tcPr>
          <w:p w14:paraId="3C56E8C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380" w:type="dxa"/>
            <w:noWrap w:val="0"/>
            <w:vAlign w:val="center"/>
          </w:tcPr>
          <w:p w14:paraId="3F67D54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467" w:type="dxa"/>
            <w:noWrap w:val="0"/>
            <w:vAlign w:val="center"/>
          </w:tcPr>
          <w:p w14:paraId="04DD6F8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500" w:type="dxa"/>
            <w:noWrap w:val="0"/>
            <w:vAlign w:val="center"/>
          </w:tcPr>
          <w:p w14:paraId="255D228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服务内容</w:t>
            </w:r>
          </w:p>
          <w:p w14:paraId="749CEB2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或涉及事项</w:t>
            </w:r>
          </w:p>
        </w:tc>
        <w:tc>
          <w:tcPr>
            <w:tcW w:w="1230" w:type="dxa"/>
            <w:noWrap w:val="0"/>
            <w:vAlign w:val="center"/>
          </w:tcPr>
          <w:p w14:paraId="29ECF8C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收费标准</w:t>
            </w:r>
          </w:p>
        </w:tc>
        <w:tc>
          <w:tcPr>
            <w:tcW w:w="1425" w:type="dxa"/>
            <w:noWrap w:val="0"/>
            <w:vAlign w:val="center"/>
          </w:tcPr>
          <w:p w14:paraId="29A2E1F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标准制定</w:t>
            </w:r>
          </w:p>
          <w:p w14:paraId="135862B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方式及部门</w:t>
            </w:r>
          </w:p>
        </w:tc>
        <w:tc>
          <w:tcPr>
            <w:tcW w:w="1245" w:type="dxa"/>
            <w:noWrap w:val="0"/>
            <w:vAlign w:val="center"/>
          </w:tcPr>
          <w:p w14:paraId="51AFD7A6">
            <w:pPr>
              <w:spacing w:line="440" w:lineRule="exact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政策依据</w:t>
            </w:r>
          </w:p>
        </w:tc>
        <w:tc>
          <w:tcPr>
            <w:tcW w:w="485" w:type="dxa"/>
            <w:noWrap w:val="0"/>
            <w:vAlign w:val="center"/>
          </w:tcPr>
          <w:p w14:paraId="1663CEB2">
            <w:pPr>
              <w:spacing w:line="440" w:lineRule="exact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备注</w:t>
            </w:r>
          </w:p>
        </w:tc>
      </w:tr>
      <w:tr w14:paraId="69D5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453" w:type="dxa"/>
            <w:noWrap w:val="0"/>
            <w:vAlign w:val="center"/>
          </w:tcPr>
          <w:p w14:paraId="31AD36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0A570AE6">
            <w:pPr>
              <w:widowControl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水利部</w:t>
            </w:r>
          </w:p>
        </w:tc>
        <w:tc>
          <w:tcPr>
            <w:tcW w:w="1665" w:type="dxa"/>
            <w:noWrap w:val="0"/>
            <w:vAlign w:val="center"/>
          </w:tcPr>
          <w:p w14:paraId="2CF7DBFC">
            <w:pPr>
              <w:widowControl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水利部海河水利委员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水利信息网络中心</w:t>
            </w:r>
          </w:p>
        </w:tc>
        <w:tc>
          <w:tcPr>
            <w:tcW w:w="1275" w:type="dxa"/>
            <w:noWrap w:val="0"/>
            <w:vAlign w:val="center"/>
          </w:tcPr>
          <w:p w14:paraId="2F979B4E">
            <w:pPr>
              <w:widowControl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事业</w:t>
            </w:r>
          </w:p>
          <w:p w14:paraId="2ED596FD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 w14:paraId="2672D439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技术服务费</w:t>
            </w:r>
          </w:p>
        </w:tc>
        <w:tc>
          <w:tcPr>
            <w:tcW w:w="1467" w:type="dxa"/>
            <w:noWrap w:val="0"/>
            <w:vAlign w:val="center"/>
          </w:tcPr>
          <w:p w14:paraId="216D61B2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市场调节价的经营服务性收费</w:t>
            </w:r>
          </w:p>
        </w:tc>
        <w:tc>
          <w:tcPr>
            <w:tcW w:w="1500" w:type="dxa"/>
            <w:noWrap w:val="0"/>
            <w:vAlign w:val="center"/>
          </w:tcPr>
          <w:p w14:paraId="504C45E0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咨询与技术服务</w:t>
            </w:r>
          </w:p>
        </w:tc>
        <w:tc>
          <w:tcPr>
            <w:tcW w:w="1230" w:type="dxa"/>
            <w:noWrap w:val="0"/>
            <w:vAlign w:val="center"/>
          </w:tcPr>
          <w:p w14:paraId="070B1C7E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双方协商确定</w:t>
            </w:r>
          </w:p>
        </w:tc>
        <w:tc>
          <w:tcPr>
            <w:tcW w:w="1425" w:type="dxa"/>
            <w:noWrap w:val="0"/>
            <w:vAlign w:val="center"/>
          </w:tcPr>
          <w:p w14:paraId="745822AB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1245" w:type="dxa"/>
            <w:noWrap w:val="0"/>
            <w:vAlign w:val="center"/>
          </w:tcPr>
          <w:p w14:paraId="02FC202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5" w:type="dxa"/>
            <w:noWrap w:val="0"/>
            <w:vAlign w:val="center"/>
          </w:tcPr>
          <w:p w14:paraId="5146B07D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E670800">
      <w:pPr>
        <w:widowControl/>
        <w:jc w:val="center"/>
        <w:rPr>
          <w:rFonts w:eastAsia="仿宋_GB2312"/>
          <w:sz w:val="32"/>
          <w:szCs w:val="32"/>
        </w:rPr>
      </w:pPr>
    </w:p>
    <w:p w14:paraId="1826E05B">
      <w:pPr>
        <w:widowControl/>
        <w:spacing w:line="600" w:lineRule="exact"/>
        <w:jc w:val="center"/>
        <w:rPr>
          <w:b/>
          <w:sz w:val="32"/>
          <w:szCs w:val="32"/>
        </w:rPr>
      </w:pPr>
    </w:p>
    <w:p w14:paraId="3BA3F8BB"/>
    <w:sectPr>
      <w:pgSz w:w="16838" w:h="11906" w:orient="landscape"/>
      <w:pgMar w:top="2098" w:right="1531" w:bottom="1247" w:left="1531" w:header="851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E8C4"/>
    <w:rsid w:val="0E5E3410"/>
    <w:rsid w:val="147FAA1E"/>
    <w:rsid w:val="1BE56850"/>
    <w:rsid w:val="2FFE9DD2"/>
    <w:rsid w:val="74F05D3C"/>
    <w:rsid w:val="7B3FC7A5"/>
    <w:rsid w:val="7E267E88"/>
    <w:rsid w:val="7FBBE8C4"/>
    <w:rsid w:val="CF27920F"/>
    <w:rsid w:val="D7D50781"/>
    <w:rsid w:val="EEAF6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Calibri" w:eastAsia="仿宋_GB2312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Calibri" w:eastAsia="仿宋_GB2312" w:cs="Times New Roman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18.3333333333333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2022-08-13T18:38:00Z</dcterms:created>
  <dc:creator>tianzong</dc:creator>
  <cp:lastModifiedBy>齐征</cp:lastModifiedBy>
  <cp:lastPrinted>2025-05-30T01:05:08Z</cp:lastPrinted>
  <dcterms:modified xsi:type="dcterms:W3CDTF">2025-07-01T07:24:33Z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48342F35C14D4B4C8CD19C70F462E714_13</vt:lpwstr>
  </property>
</Properties>
</file>