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1BD3B0">
      <w:pPr>
        <w:snapToGrid/>
        <w:spacing w:before="0" w:beforeLines="0" w:after="0" w:afterLines="0" w:line="240" w:lineRule="auto"/>
        <w:jc w:val="both"/>
        <w:rPr>
          <w:rFonts w:hint="eastAsia" w:ascii="黑体" w:hAnsi="黑体" w:eastAsia="黑体" w:cs="黑体"/>
          <w:color w:val="000000"/>
          <w:sz w:val="32"/>
          <w:szCs w:val="32"/>
          <w:highlight w:val="none"/>
          <w:lang w:eastAsia="zh-CN"/>
        </w:rPr>
      </w:pPr>
      <w:r>
        <w:rPr>
          <w:rFonts w:hint="eastAsia" w:ascii="黑体" w:hAnsi="黑体" w:eastAsia="黑体" w:cs="黑体"/>
          <w:color w:val="000000"/>
          <w:sz w:val="32"/>
          <w:szCs w:val="32"/>
          <w:highlight w:val="none"/>
          <w:lang w:eastAsia="zh-CN"/>
        </w:rPr>
        <w:t>附件</w:t>
      </w:r>
    </w:p>
    <w:p w14:paraId="3B127891">
      <w:pPr>
        <w:snapToGrid/>
        <w:spacing w:before="299" w:beforeLines="50" w:after="299" w:afterLines="50" w:line="0" w:lineRule="atLeast"/>
        <w:jc w:val="center"/>
        <w:rPr>
          <w:rFonts w:hint="eastAsia" w:ascii="方正小标宋简体" w:hAnsi="方正小标宋简体" w:eastAsia="方正小标宋简体" w:cs="方正小标宋简体"/>
          <w:color w:val="000000"/>
          <w:sz w:val="44"/>
          <w:szCs w:val="44"/>
          <w:highlight w:val="none"/>
        </w:rPr>
      </w:pPr>
      <w:r>
        <w:rPr>
          <w:rFonts w:hint="eastAsia" w:ascii="方正小标宋简体" w:hAnsi="方正小标宋简体" w:eastAsia="方正小标宋简体" w:cs="方正小标宋简体"/>
          <w:color w:val="000000"/>
          <w:sz w:val="44"/>
          <w:szCs w:val="44"/>
          <w:highlight w:val="none"/>
        </w:rPr>
        <w:t>问题及整改要求清单</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640"/>
        <w:gridCol w:w="3444"/>
        <w:gridCol w:w="1150"/>
        <w:gridCol w:w="1716"/>
        <w:gridCol w:w="3225"/>
        <w:gridCol w:w="1344"/>
      </w:tblGrid>
      <w:tr w14:paraId="4F8E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66" w:type="dxa"/>
            <w:noWrap w:val="0"/>
            <w:vAlign w:val="center"/>
          </w:tcPr>
          <w:p w14:paraId="16D5CBEB">
            <w:pPr>
              <w:keepNext w:val="0"/>
              <w:keepLines w:val="0"/>
              <w:pageBreakBefore w:val="0"/>
              <w:kinsoku/>
              <w:wordWrap/>
              <w:overflowPunct/>
              <w:topLinePunct w:val="0"/>
              <w:autoSpaceDE/>
              <w:autoSpaceDN/>
              <w:bidi w:val="0"/>
              <w:snapToGrid/>
              <w:spacing w:beforeLines="0" w:afterLines="0" w:line="0" w:lineRule="atLeast"/>
              <w:jc w:val="center"/>
              <w:rPr>
                <w:rFonts w:hint="eastAsia" w:ascii="黑体" w:hAnsi="黑体" w:eastAsia="黑体" w:cs="黑体"/>
                <w:b w:val="0"/>
                <w:bCs w:val="0"/>
                <w:color w:val="000000"/>
                <w:kern w:val="2"/>
                <w:sz w:val="28"/>
                <w:szCs w:val="28"/>
                <w:highlight w:val="none"/>
                <w:lang w:val="en-US" w:eastAsia="zh-CN"/>
              </w:rPr>
            </w:pPr>
            <w:r>
              <w:rPr>
                <w:rFonts w:hint="eastAsia" w:ascii="黑体" w:hAnsi="黑体" w:eastAsia="黑体" w:cs="黑体"/>
                <w:b w:val="0"/>
                <w:bCs w:val="0"/>
                <w:color w:val="000000"/>
                <w:kern w:val="2"/>
                <w:sz w:val="28"/>
                <w:szCs w:val="28"/>
                <w:highlight w:val="none"/>
                <w:lang w:val="en-US" w:eastAsia="zh-CN"/>
              </w:rPr>
              <w:t>序号</w:t>
            </w:r>
          </w:p>
        </w:tc>
        <w:tc>
          <w:tcPr>
            <w:tcW w:w="2640" w:type="dxa"/>
            <w:noWrap w:val="0"/>
            <w:vAlign w:val="center"/>
          </w:tcPr>
          <w:p w14:paraId="4F63489C">
            <w:pPr>
              <w:keepNext w:val="0"/>
              <w:keepLines w:val="0"/>
              <w:pageBreakBefore w:val="0"/>
              <w:kinsoku/>
              <w:wordWrap/>
              <w:overflowPunct/>
              <w:topLinePunct w:val="0"/>
              <w:autoSpaceDE/>
              <w:autoSpaceDN/>
              <w:bidi w:val="0"/>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存在问题</w:t>
            </w:r>
          </w:p>
        </w:tc>
        <w:tc>
          <w:tcPr>
            <w:tcW w:w="3444" w:type="dxa"/>
            <w:noWrap w:val="0"/>
            <w:vAlign w:val="center"/>
          </w:tcPr>
          <w:p w14:paraId="22380618">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问题具体位置（情形）</w:t>
            </w:r>
          </w:p>
        </w:tc>
        <w:tc>
          <w:tcPr>
            <w:tcW w:w="1150" w:type="dxa"/>
            <w:noWrap w:val="0"/>
            <w:vAlign w:val="center"/>
          </w:tcPr>
          <w:p w14:paraId="33CA25B9">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问题</w:t>
            </w:r>
          </w:p>
          <w:p w14:paraId="4F393F50">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性质</w:t>
            </w:r>
          </w:p>
        </w:tc>
        <w:tc>
          <w:tcPr>
            <w:tcW w:w="1716" w:type="dxa"/>
            <w:noWrap w:val="0"/>
            <w:vAlign w:val="center"/>
          </w:tcPr>
          <w:p w14:paraId="775A7B65">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责任对象</w:t>
            </w:r>
          </w:p>
        </w:tc>
        <w:tc>
          <w:tcPr>
            <w:tcW w:w="3225" w:type="dxa"/>
            <w:noWrap w:val="0"/>
            <w:vAlign w:val="center"/>
          </w:tcPr>
          <w:p w14:paraId="4C408E9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整改要求</w:t>
            </w:r>
          </w:p>
        </w:tc>
        <w:tc>
          <w:tcPr>
            <w:tcW w:w="1344" w:type="dxa"/>
            <w:noWrap w:val="0"/>
            <w:vAlign w:val="center"/>
          </w:tcPr>
          <w:p w14:paraId="2035D581">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拟采取的责任追究方式</w:t>
            </w:r>
          </w:p>
        </w:tc>
      </w:tr>
      <w:tr w14:paraId="0EC0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4" w:hRule="atLeast"/>
          <w:jc w:val="center"/>
        </w:trPr>
        <w:tc>
          <w:tcPr>
            <w:tcW w:w="866" w:type="dxa"/>
            <w:noWrap w:val="0"/>
            <w:vAlign w:val="center"/>
          </w:tcPr>
          <w:p w14:paraId="753122B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1</w:t>
            </w:r>
          </w:p>
        </w:tc>
        <w:tc>
          <w:tcPr>
            <w:tcW w:w="2640" w:type="dxa"/>
            <w:noWrap w:val="0"/>
            <w:vAlign w:val="center"/>
          </w:tcPr>
          <w:p w14:paraId="356A44DF">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项目未按照现场地形等条件针对性开展水土保持“一塔一图”设计，且设计的措施不满足水土保持方案措施体系要求。</w:t>
            </w:r>
          </w:p>
        </w:tc>
        <w:tc>
          <w:tcPr>
            <w:tcW w:w="3444" w:type="dxa"/>
            <w:noWrap w:val="0"/>
            <w:vAlign w:val="center"/>
          </w:tcPr>
          <w:p w14:paraId="115AB06E">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default" w:ascii="仿宋_GB2312" w:hAnsi="仿宋_GB2312" w:eastAsia="仿宋_GB2312" w:cs="仿宋_GB2312"/>
                <w:b w:val="0"/>
                <w:bCs w:val="0"/>
                <w:color w:val="000000"/>
                <w:kern w:val="2"/>
                <w:sz w:val="28"/>
                <w:szCs w:val="28"/>
                <w:highlight w:val="none"/>
                <w:lang w:val="en-US" w:eastAsia="zh-CN"/>
              </w:rPr>
            </w:pPr>
          </w:p>
        </w:tc>
        <w:tc>
          <w:tcPr>
            <w:tcW w:w="1150" w:type="dxa"/>
            <w:noWrap w:val="0"/>
            <w:vAlign w:val="center"/>
          </w:tcPr>
          <w:p w14:paraId="4F2B61A9">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09934058">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2F674D3D">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设计单位</w:t>
            </w:r>
          </w:p>
        </w:tc>
        <w:tc>
          <w:tcPr>
            <w:tcW w:w="3225" w:type="dxa"/>
            <w:noWrap w:val="0"/>
            <w:vAlign w:val="center"/>
          </w:tcPr>
          <w:p w14:paraId="3F414BA4">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设计单位对项目全线进行逐塔基、逐道路排查，结合现场地形，特别是高陡边坡，针对性开展“一塔一图”补充设计，全面落实水土保持方案设计的浆砌石挡墙、护坡、排水沟等水土保持措施体系。</w:t>
            </w:r>
          </w:p>
        </w:tc>
        <w:tc>
          <w:tcPr>
            <w:tcW w:w="1344" w:type="dxa"/>
            <w:noWrap w:val="0"/>
            <w:vAlign w:val="center"/>
          </w:tcPr>
          <w:p w14:paraId="1B2E846D">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197B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5" w:hRule="atLeast"/>
          <w:jc w:val="center"/>
        </w:trPr>
        <w:tc>
          <w:tcPr>
            <w:tcW w:w="866" w:type="dxa"/>
            <w:noWrap w:val="0"/>
            <w:vAlign w:val="center"/>
          </w:tcPr>
          <w:p w14:paraId="57584141">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2</w:t>
            </w:r>
          </w:p>
        </w:tc>
        <w:tc>
          <w:tcPr>
            <w:tcW w:w="2640" w:type="dxa"/>
            <w:noWrap w:val="0"/>
            <w:vAlign w:val="center"/>
          </w:tcPr>
          <w:p w14:paraId="44573917">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项目部分塔基区存在顺坡溜渣。</w:t>
            </w:r>
          </w:p>
        </w:tc>
        <w:tc>
          <w:tcPr>
            <w:tcW w:w="3444" w:type="dxa"/>
            <w:noWrap w:val="0"/>
            <w:vAlign w:val="center"/>
          </w:tcPr>
          <w:p w14:paraId="4639AFAD">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张家口段：03R039、03L040塔基</w:t>
            </w:r>
          </w:p>
        </w:tc>
        <w:tc>
          <w:tcPr>
            <w:tcW w:w="1150" w:type="dxa"/>
            <w:noWrap w:val="0"/>
            <w:vAlign w:val="center"/>
          </w:tcPr>
          <w:p w14:paraId="64504327">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30063C1A">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1A3869BC">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18ABA503">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建设单位应组织施工单位对塔基区顺坡溜渣进行清理并落实拦挡、土地整治、植被恢复等措施。</w:t>
            </w:r>
          </w:p>
        </w:tc>
        <w:tc>
          <w:tcPr>
            <w:tcW w:w="1344" w:type="dxa"/>
            <w:noWrap w:val="0"/>
            <w:vAlign w:val="center"/>
          </w:tcPr>
          <w:p w14:paraId="2010EC87">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2B30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7" w:hRule="atLeast"/>
          <w:jc w:val="center"/>
        </w:trPr>
        <w:tc>
          <w:tcPr>
            <w:tcW w:w="866" w:type="dxa"/>
            <w:noWrap w:val="0"/>
            <w:vAlign w:val="center"/>
          </w:tcPr>
          <w:p w14:paraId="639EAA2A">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3</w:t>
            </w:r>
          </w:p>
        </w:tc>
        <w:tc>
          <w:tcPr>
            <w:tcW w:w="2640" w:type="dxa"/>
            <w:noWrap w:val="0"/>
            <w:vAlign w:val="center"/>
          </w:tcPr>
          <w:p w14:paraId="0D1AE444">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项目部分塔基区未按照水土保持方案要求落实浆砌石挡土墙、护坡、排水沟等水土保持措施，边坡存在冲沟。</w:t>
            </w:r>
          </w:p>
        </w:tc>
        <w:tc>
          <w:tcPr>
            <w:tcW w:w="3444" w:type="dxa"/>
            <w:noWrap w:val="0"/>
            <w:vAlign w:val="center"/>
          </w:tcPr>
          <w:p w14:paraId="25E3855B">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张家口段：03L024、03R013、03R038、03R039、03L040未落实浆砌石挡土墙、护坡、排水等水土保持措施，边坡形成冲沟；</w:t>
            </w:r>
          </w:p>
          <w:p w14:paraId="65EC39E8">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承德段：05L155土地整治不到位。</w:t>
            </w:r>
          </w:p>
        </w:tc>
        <w:tc>
          <w:tcPr>
            <w:tcW w:w="1150" w:type="dxa"/>
            <w:noWrap w:val="0"/>
            <w:vAlign w:val="center"/>
          </w:tcPr>
          <w:p w14:paraId="3F0C1C8F">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181D5B69">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2CF9E3B6">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3F48A4BF">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建设单位应组织施工单位严格按照水土保持方案要求落实浆砌石挡土墙、护坡、排水沟等水土保持措施，对存在冲沟的边坡进行修复。</w:t>
            </w:r>
          </w:p>
        </w:tc>
        <w:tc>
          <w:tcPr>
            <w:tcW w:w="1344" w:type="dxa"/>
            <w:noWrap w:val="0"/>
            <w:vAlign w:val="center"/>
          </w:tcPr>
          <w:p w14:paraId="03DBD703">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3FAC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7" w:hRule="atLeast"/>
          <w:jc w:val="center"/>
        </w:trPr>
        <w:tc>
          <w:tcPr>
            <w:tcW w:w="866" w:type="dxa"/>
            <w:noWrap w:val="0"/>
            <w:vAlign w:val="center"/>
          </w:tcPr>
          <w:p w14:paraId="2A60667F">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4</w:t>
            </w:r>
          </w:p>
        </w:tc>
        <w:tc>
          <w:tcPr>
            <w:tcW w:w="2640" w:type="dxa"/>
            <w:noWrap w:val="0"/>
            <w:vAlign w:val="center"/>
          </w:tcPr>
          <w:p w14:paraId="35F6A3D5">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项目部分变电站防治区植被恢复、临时排水、临时拦挡、苫盖等措施落实不到位。</w:t>
            </w:r>
          </w:p>
        </w:tc>
        <w:tc>
          <w:tcPr>
            <w:tcW w:w="3444" w:type="dxa"/>
            <w:noWrap w:val="0"/>
            <w:vAlign w:val="center"/>
          </w:tcPr>
          <w:p w14:paraId="3CFEDEB7">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大同站入口和临时堆土附近有大面积裸露地表未苫盖，临时堆土未落实排水沟；承德站临时堆土未全部进行拦挡，预留用地未进行植被恢复，进站道路边坡植被恢复效果较差。</w:t>
            </w:r>
          </w:p>
        </w:tc>
        <w:tc>
          <w:tcPr>
            <w:tcW w:w="1150" w:type="dxa"/>
            <w:noWrap w:val="0"/>
            <w:vAlign w:val="center"/>
          </w:tcPr>
          <w:p w14:paraId="398879F4">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61F5F753">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629F229F">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7D85D9BE">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建设单位应组织施工单位严格按照水土保持方案及后续设计要求落实变电站防治区的植被恢复、临时排水、临时拦挡、苫盖等水土保持措施。</w:t>
            </w:r>
          </w:p>
        </w:tc>
        <w:tc>
          <w:tcPr>
            <w:tcW w:w="1344" w:type="dxa"/>
            <w:noWrap w:val="0"/>
            <w:vAlign w:val="center"/>
          </w:tcPr>
          <w:p w14:paraId="1ED3289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7682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3" w:hRule="atLeast"/>
          <w:jc w:val="center"/>
        </w:trPr>
        <w:tc>
          <w:tcPr>
            <w:tcW w:w="866" w:type="dxa"/>
            <w:noWrap w:val="0"/>
            <w:vAlign w:val="center"/>
          </w:tcPr>
          <w:p w14:paraId="3465F52D">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5</w:t>
            </w:r>
          </w:p>
        </w:tc>
        <w:tc>
          <w:tcPr>
            <w:tcW w:w="2640" w:type="dxa"/>
            <w:noWrap w:val="0"/>
            <w:vAlign w:val="center"/>
          </w:tcPr>
          <w:p w14:paraId="49986816">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项目部分施工便道形成高陡边坡，存在溜渣，且未落实拦挡、排水等防护措施，存在水土流失隐患。</w:t>
            </w:r>
          </w:p>
        </w:tc>
        <w:tc>
          <w:tcPr>
            <w:tcW w:w="3444" w:type="dxa"/>
            <w:noWrap w:val="0"/>
            <w:vAlign w:val="center"/>
          </w:tcPr>
          <w:p w14:paraId="43E5E867">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张家口段：03R039、03L040、03L024、03R013塔基附近施工便道</w:t>
            </w:r>
          </w:p>
        </w:tc>
        <w:tc>
          <w:tcPr>
            <w:tcW w:w="1150" w:type="dxa"/>
            <w:noWrap w:val="0"/>
            <w:vAlign w:val="center"/>
          </w:tcPr>
          <w:p w14:paraId="7C291D5A">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508969C9">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3ECE35A1">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6DEEE857">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建设单位应组织施工单位对施工便道溜渣进行清理，严格按照水土保持方案要求落实拦挡、排水等防护措施，按要求控制边坡坡度和高度，消除水土流失隐患，施工结束后及时对施工便道进行恢复。</w:t>
            </w:r>
          </w:p>
        </w:tc>
        <w:tc>
          <w:tcPr>
            <w:tcW w:w="1344" w:type="dxa"/>
            <w:noWrap w:val="0"/>
            <w:vAlign w:val="center"/>
          </w:tcPr>
          <w:p w14:paraId="44DF07E4">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6552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9" w:hRule="atLeast"/>
          <w:jc w:val="center"/>
        </w:trPr>
        <w:tc>
          <w:tcPr>
            <w:tcW w:w="866" w:type="dxa"/>
            <w:noWrap w:val="0"/>
            <w:vAlign w:val="center"/>
          </w:tcPr>
          <w:p w14:paraId="7BF2703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6</w:t>
            </w:r>
          </w:p>
        </w:tc>
        <w:tc>
          <w:tcPr>
            <w:tcW w:w="2640" w:type="dxa"/>
            <w:noWrap w:val="0"/>
            <w:vAlign w:val="center"/>
          </w:tcPr>
          <w:p w14:paraId="355A5B96">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项目水土保持监测单位履行职责不到位，未实行驻场监测，未对项目余方进行有效监测，未根据现场实际情况进行三色评价赋分。</w:t>
            </w:r>
          </w:p>
        </w:tc>
        <w:tc>
          <w:tcPr>
            <w:tcW w:w="3444" w:type="dxa"/>
            <w:noWrap w:val="0"/>
            <w:vAlign w:val="center"/>
          </w:tcPr>
          <w:p w14:paraId="559CB422">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项目未实行驻场监测，未对项目余方进行有效监测；冀北段监测季报三色评价赋分有误，未针对项目塔基区工程措施和施工便道临时措施落实不到位的问题进行扣分。</w:t>
            </w:r>
          </w:p>
        </w:tc>
        <w:tc>
          <w:tcPr>
            <w:tcW w:w="1150" w:type="dxa"/>
            <w:noWrap w:val="0"/>
            <w:vAlign w:val="center"/>
          </w:tcPr>
          <w:p w14:paraId="745BED7D">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0B1B132F">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水土保持</w:t>
            </w:r>
          </w:p>
          <w:p w14:paraId="40104CAA">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监测单位</w:t>
            </w:r>
          </w:p>
        </w:tc>
        <w:tc>
          <w:tcPr>
            <w:tcW w:w="3225" w:type="dxa"/>
            <w:noWrap w:val="0"/>
            <w:vAlign w:val="center"/>
          </w:tcPr>
          <w:p w14:paraId="5A482A9C">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水土保持监测单位应严格按照水利部相关规定和技术规程，规范开展水土保持监测工作，客观、如实作出水土保持三色评价，实行驻场监测，定量监测项目余方数量和去向。</w:t>
            </w:r>
          </w:p>
        </w:tc>
        <w:tc>
          <w:tcPr>
            <w:tcW w:w="1344" w:type="dxa"/>
            <w:noWrap w:val="0"/>
            <w:vAlign w:val="center"/>
          </w:tcPr>
          <w:p w14:paraId="2FA6B532">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3D28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7" w:hRule="atLeast"/>
          <w:jc w:val="center"/>
        </w:trPr>
        <w:tc>
          <w:tcPr>
            <w:tcW w:w="866" w:type="dxa"/>
            <w:noWrap w:val="0"/>
            <w:vAlign w:val="center"/>
          </w:tcPr>
          <w:p w14:paraId="29071CC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7</w:t>
            </w:r>
          </w:p>
        </w:tc>
        <w:tc>
          <w:tcPr>
            <w:tcW w:w="2640" w:type="dxa"/>
            <w:noWrap w:val="0"/>
            <w:vAlign w:val="center"/>
          </w:tcPr>
          <w:p w14:paraId="7552D248">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项目水土保持监理单位履行职责不到位，未实行驻场监理，未有效进行水土保持事前预控。</w:t>
            </w:r>
          </w:p>
        </w:tc>
        <w:tc>
          <w:tcPr>
            <w:tcW w:w="3444" w:type="dxa"/>
            <w:noWrap w:val="0"/>
            <w:vAlign w:val="center"/>
          </w:tcPr>
          <w:p w14:paraId="56FDCEE4">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项目未实行驻场监理；水土保持监理单位未开展水土保持措施施工图会审、表土剥离保护与利用规划审核、水土保持施工技术方案审核等，未有效进行事前预控。</w:t>
            </w:r>
          </w:p>
        </w:tc>
        <w:tc>
          <w:tcPr>
            <w:tcW w:w="1150" w:type="dxa"/>
            <w:noWrap w:val="0"/>
            <w:vAlign w:val="center"/>
          </w:tcPr>
          <w:p w14:paraId="0F43B231">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0DCCCC8F">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水土保持</w:t>
            </w:r>
          </w:p>
          <w:p w14:paraId="3953334B">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监理单位</w:t>
            </w:r>
          </w:p>
        </w:tc>
        <w:tc>
          <w:tcPr>
            <w:tcW w:w="3225" w:type="dxa"/>
            <w:noWrap w:val="0"/>
            <w:vAlign w:val="center"/>
          </w:tcPr>
          <w:p w14:paraId="37B1EA4B">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项目水土保持监理单位应严格按照《水土保持监理规范》（SL 523—2024）开展工作，实行驻场监理，有效进行水土保持事前预控，发挥监理职责。</w:t>
            </w:r>
          </w:p>
        </w:tc>
        <w:tc>
          <w:tcPr>
            <w:tcW w:w="1344" w:type="dxa"/>
            <w:noWrap w:val="0"/>
            <w:vAlign w:val="center"/>
          </w:tcPr>
          <w:p w14:paraId="788BE20F">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bl>
    <w:p w14:paraId="5B3D546E">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992E24"/>
    <w:rsid w:val="75992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32"/>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Text1I2"/>
    <w:basedOn w:val="3"/>
    <w:next w:val="4"/>
    <w:qFormat/>
    <w:uiPriority w:val="99"/>
    <w:pPr>
      <w:ind w:firstLine="210"/>
    </w:pPr>
  </w:style>
  <w:style w:type="paragraph" w:customStyle="1" w:styleId="3">
    <w:name w:val="BodyTextIndent"/>
    <w:basedOn w:val="1"/>
    <w:qFormat/>
    <w:uiPriority w:val="99"/>
    <w:pPr>
      <w:spacing w:after="120"/>
      <w:ind w:left="420" w:leftChars="200"/>
    </w:pPr>
  </w:style>
  <w:style w:type="paragraph" w:customStyle="1" w:styleId="4">
    <w:name w:val="BodyText"/>
    <w:basedOn w:val="1"/>
    <w:qFormat/>
    <w:uiPriority w:val="99"/>
    <w:pPr>
      <w:ind w:left="118"/>
    </w:pPr>
    <w:rPr>
      <w:rFonts w:ascii="宋体" w:eastAsia="仿宋_GB2312" w:cs="宋体"/>
      <w:sz w:val="30"/>
      <w:szCs w:val="3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2026-10-10T02:28:00Z</dcterms:created>
  <dc:creator>齐征</dc:creator>
  <cp:lastModifiedBy>齐征</cp:lastModifiedBy>
  <dcterms:modified xsi:type="dcterms:W3CDTF">2026-10-10T02:31:20Z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D66377F3B2884758812FDD831DBF3E18_11</vt:lpwstr>
  </property>
  <property fmtid="{D5CDD505-2E9C-101B-9397-08002B2CF9AE}" pid="4" name="KSOTemplateDocerSaveRecord">
    <vt:lpwstr>eyJoZGlkIjoiMGYxODk3MTQzOTlhZDliZTlhNmMzNDY2YjJiZjcwMWEifQ==</vt:lpwstr>
  </property>
</Properties>
</file>