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DB15A">
      <w:pPr>
        <w:snapToGrid/>
        <w:spacing w:before="0" w:beforeLines="0" w:after="0" w:afterLines="0" w:line="240" w:lineRule="auto"/>
        <w:jc w:val="both"/>
        <w:rPr>
          <w:rFonts w:hint="default"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eastAsia="zh-CN"/>
        </w:rPr>
        <w:t>附件</w:t>
      </w:r>
      <w:r>
        <w:rPr>
          <w:rFonts w:hint="eastAsia" w:ascii="黑体" w:hAnsi="黑体" w:eastAsia="黑体" w:cs="黑体"/>
          <w:color w:val="000000"/>
          <w:sz w:val="32"/>
          <w:szCs w:val="32"/>
          <w:highlight w:val="none"/>
          <w:lang w:val="en-US" w:eastAsia="zh-CN"/>
        </w:rPr>
        <w:t>1</w:t>
      </w:r>
    </w:p>
    <w:p w14:paraId="02A85B9A">
      <w:pPr>
        <w:snapToGrid/>
        <w:spacing w:before="298" w:beforeLines="50" w:after="298" w:afterLines="50" w:line="0" w:lineRule="atLeas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简体" w:hAnsi="方正小标宋简体" w:eastAsia="方正小标宋简体" w:cs="方正小标宋简体"/>
          <w:color w:val="000000"/>
          <w:sz w:val="44"/>
          <w:szCs w:val="44"/>
          <w:highlight w:val="none"/>
        </w:rPr>
        <w:t>问题及整改要求清单</w:t>
      </w:r>
      <w:r>
        <w:rPr>
          <w:rFonts w:hint="eastAsia" w:ascii="方正小标宋简体" w:hAnsi="方正小标宋简体" w:eastAsia="方正小标宋简体" w:cs="方正小标宋简体"/>
          <w:color w:val="000000"/>
          <w:sz w:val="44"/>
          <w:szCs w:val="44"/>
          <w:highlight w:val="none"/>
          <w:lang w:eastAsia="zh-CN"/>
        </w:rPr>
        <w:t>（内蒙古段）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817"/>
        <w:gridCol w:w="3267"/>
        <w:gridCol w:w="935"/>
        <w:gridCol w:w="1931"/>
        <w:gridCol w:w="3225"/>
        <w:gridCol w:w="1344"/>
      </w:tblGrid>
      <w:tr w14:paraId="22D2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66" w:type="dxa"/>
            <w:noWrap w:val="0"/>
            <w:vAlign w:val="center"/>
          </w:tcPr>
          <w:p w14:paraId="224AAEA1">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val="en-US" w:eastAsia="zh-CN"/>
              </w:rPr>
            </w:pPr>
            <w:r>
              <w:rPr>
                <w:rFonts w:hint="eastAsia" w:ascii="黑体" w:hAnsi="黑体" w:eastAsia="黑体" w:cs="黑体"/>
                <w:b w:val="0"/>
                <w:bCs w:val="0"/>
                <w:color w:val="000000"/>
                <w:kern w:val="2"/>
                <w:sz w:val="28"/>
                <w:szCs w:val="28"/>
                <w:highlight w:val="none"/>
                <w:lang w:val="en-US" w:eastAsia="zh-CN"/>
              </w:rPr>
              <w:t>序号</w:t>
            </w:r>
          </w:p>
        </w:tc>
        <w:tc>
          <w:tcPr>
            <w:tcW w:w="2817" w:type="dxa"/>
            <w:noWrap w:val="0"/>
            <w:vAlign w:val="center"/>
          </w:tcPr>
          <w:p w14:paraId="31E7FC1C">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存在问题</w:t>
            </w:r>
          </w:p>
        </w:tc>
        <w:tc>
          <w:tcPr>
            <w:tcW w:w="3267" w:type="dxa"/>
            <w:noWrap w:val="0"/>
            <w:vAlign w:val="center"/>
          </w:tcPr>
          <w:p w14:paraId="74BC4BF2">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问题具体位置</w:t>
            </w:r>
          </w:p>
          <w:p w14:paraId="0186920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（情形）</w:t>
            </w:r>
          </w:p>
        </w:tc>
        <w:tc>
          <w:tcPr>
            <w:tcW w:w="935" w:type="dxa"/>
            <w:noWrap w:val="0"/>
            <w:vAlign w:val="center"/>
          </w:tcPr>
          <w:p w14:paraId="27C20C52">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w:t>
            </w:r>
          </w:p>
          <w:p w14:paraId="7AC6ECD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性质</w:t>
            </w:r>
          </w:p>
        </w:tc>
        <w:tc>
          <w:tcPr>
            <w:tcW w:w="1931" w:type="dxa"/>
            <w:noWrap w:val="0"/>
            <w:vAlign w:val="center"/>
          </w:tcPr>
          <w:p w14:paraId="45892A8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责任对象</w:t>
            </w:r>
          </w:p>
        </w:tc>
        <w:tc>
          <w:tcPr>
            <w:tcW w:w="3225" w:type="dxa"/>
            <w:noWrap w:val="0"/>
            <w:vAlign w:val="center"/>
          </w:tcPr>
          <w:p w14:paraId="3AE773DA">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整改要求</w:t>
            </w:r>
          </w:p>
        </w:tc>
        <w:tc>
          <w:tcPr>
            <w:tcW w:w="1344" w:type="dxa"/>
            <w:noWrap w:val="0"/>
            <w:vAlign w:val="center"/>
          </w:tcPr>
          <w:p w14:paraId="1268967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拟采取的责任追究方式</w:t>
            </w:r>
          </w:p>
        </w:tc>
      </w:tr>
      <w:tr w14:paraId="5486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5" w:hRule="atLeast"/>
          <w:jc w:val="center"/>
        </w:trPr>
        <w:tc>
          <w:tcPr>
            <w:tcW w:w="866" w:type="dxa"/>
            <w:noWrap w:val="0"/>
            <w:vAlign w:val="center"/>
          </w:tcPr>
          <w:p w14:paraId="33BAEE3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3</w:t>
            </w:r>
          </w:p>
        </w:tc>
        <w:tc>
          <w:tcPr>
            <w:tcW w:w="2817" w:type="dxa"/>
            <w:noWrap w:val="0"/>
            <w:vAlign w:val="center"/>
          </w:tcPr>
          <w:p w14:paraId="106D37F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项目个别取土场排水顺接措施落实不到位。</w:t>
            </w:r>
          </w:p>
        </w:tc>
        <w:tc>
          <w:tcPr>
            <w:tcW w:w="3267" w:type="dxa"/>
            <w:noWrap w:val="0"/>
            <w:vAlign w:val="center"/>
          </w:tcPr>
          <w:p w14:paraId="4FC70978">
            <w:pPr>
              <w:spacing w:beforeLines="0" w:afterLines="0" w:line="0" w:lineRule="atLeast"/>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头号村取土场排水未顺接至自然沟道。</w:t>
            </w:r>
          </w:p>
        </w:tc>
        <w:tc>
          <w:tcPr>
            <w:tcW w:w="935" w:type="dxa"/>
            <w:noWrap w:val="0"/>
            <w:vAlign w:val="center"/>
          </w:tcPr>
          <w:p w14:paraId="4CC91337">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5027043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54B564C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4D54F7B5">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color w:val="000000"/>
                <w:kern w:val="2"/>
                <w:sz w:val="28"/>
                <w:szCs w:val="28"/>
                <w:highlight w:val="none"/>
                <w:lang w:val="en-US" w:eastAsia="zh-CN"/>
              </w:rPr>
              <w:t>建设单位应组织施工单位严格按照水土保持方案及后续设计要求落实排水顺接等水土保持措施。</w:t>
            </w:r>
          </w:p>
        </w:tc>
        <w:tc>
          <w:tcPr>
            <w:tcW w:w="1344" w:type="dxa"/>
            <w:noWrap w:val="0"/>
            <w:vAlign w:val="center"/>
          </w:tcPr>
          <w:p w14:paraId="3CDCFFC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5CDE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5" w:hRule="atLeast"/>
          <w:jc w:val="center"/>
        </w:trPr>
        <w:tc>
          <w:tcPr>
            <w:tcW w:w="866" w:type="dxa"/>
            <w:noWrap w:val="0"/>
            <w:vAlign w:val="center"/>
          </w:tcPr>
          <w:p w14:paraId="3A38720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4</w:t>
            </w:r>
          </w:p>
        </w:tc>
        <w:tc>
          <w:tcPr>
            <w:tcW w:w="2817" w:type="dxa"/>
            <w:noWrap w:val="0"/>
            <w:vAlign w:val="center"/>
          </w:tcPr>
          <w:p w14:paraId="02963A2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项目已开采至设计坡面的取土场部分区域植被恢复效果较差。</w:t>
            </w:r>
          </w:p>
        </w:tc>
        <w:tc>
          <w:tcPr>
            <w:tcW w:w="3267" w:type="dxa"/>
            <w:noWrap w:val="0"/>
            <w:vAlign w:val="center"/>
          </w:tcPr>
          <w:p w14:paraId="03EE4FA2">
            <w:pPr>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头号村取土场、二道木图取土场。</w:t>
            </w:r>
          </w:p>
        </w:tc>
        <w:tc>
          <w:tcPr>
            <w:tcW w:w="935" w:type="dxa"/>
            <w:noWrap w:val="0"/>
            <w:vAlign w:val="center"/>
          </w:tcPr>
          <w:p w14:paraId="2154C9C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6F50576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492FDA5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55F89F60">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color w:val="000000"/>
                <w:kern w:val="2"/>
                <w:sz w:val="28"/>
                <w:szCs w:val="28"/>
                <w:highlight w:val="none"/>
                <w:lang w:val="en-US" w:eastAsia="zh-CN"/>
              </w:rPr>
            </w:pPr>
            <w:r>
              <w:rPr>
                <w:rFonts w:hint="eastAsia" w:ascii="仿宋_GB2312" w:hAnsi="仿宋_GB2312" w:eastAsia="仿宋_GB2312" w:cs="仿宋_GB2312"/>
                <w:color w:val="000000"/>
                <w:kern w:val="2"/>
                <w:sz w:val="28"/>
                <w:szCs w:val="28"/>
                <w:highlight w:val="none"/>
                <w:lang w:val="en-US" w:eastAsia="zh-CN"/>
              </w:rPr>
              <w:t>建设单位应组织施工单位严格按照水土保持方案及后续设计要求落实取土场植被恢复措施，对植被恢复效果较差的区域进行补植补种并加强后期养护。</w:t>
            </w:r>
          </w:p>
        </w:tc>
        <w:tc>
          <w:tcPr>
            <w:tcW w:w="1344" w:type="dxa"/>
            <w:noWrap w:val="0"/>
            <w:vAlign w:val="center"/>
          </w:tcPr>
          <w:p w14:paraId="3086B8C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7900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2" w:hRule="atLeast"/>
          <w:jc w:val="center"/>
        </w:trPr>
        <w:tc>
          <w:tcPr>
            <w:tcW w:w="866" w:type="dxa"/>
            <w:noWrap w:val="0"/>
            <w:vAlign w:val="center"/>
          </w:tcPr>
          <w:p w14:paraId="422D48B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6</w:t>
            </w:r>
          </w:p>
        </w:tc>
        <w:tc>
          <w:tcPr>
            <w:tcW w:w="2817" w:type="dxa"/>
            <w:noWrap w:val="0"/>
            <w:vAlign w:val="center"/>
          </w:tcPr>
          <w:p w14:paraId="534C61A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项目部分施工便道区形成高陡边坡，未开展水土保持设计，未采取水土保持防护措施。</w:t>
            </w:r>
          </w:p>
        </w:tc>
        <w:tc>
          <w:tcPr>
            <w:tcW w:w="3267" w:type="dxa"/>
            <w:noWrap w:val="0"/>
            <w:vAlign w:val="center"/>
          </w:tcPr>
          <w:p w14:paraId="07F43A3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二道木图取土场施工道路。</w:t>
            </w:r>
          </w:p>
        </w:tc>
        <w:tc>
          <w:tcPr>
            <w:tcW w:w="935" w:type="dxa"/>
            <w:noWrap w:val="0"/>
            <w:vAlign w:val="center"/>
          </w:tcPr>
          <w:p w14:paraId="63EBA85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668FED62">
            <w:pPr>
              <w:keepNext w:val="0"/>
              <w:keepLines w:val="0"/>
              <w:pageBreakBefore w:val="0"/>
              <w:widowControl/>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03308332">
            <w:pPr>
              <w:keepNext w:val="0"/>
              <w:keepLines w:val="0"/>
              <w:pageBreakBefore w:val="0"/>
              <w:widowControl/>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设计单位</w:t>
            </w:r>
          </w:p>
          <w:p w14:paraId="16038429">
            <w:pPr>
              <w:keepNext w:val="0"/>
              <w:keepLines w:val="0"/>
              <w:pageBreakBefore w:val="0"/>
              <w:widowControl/>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35896D7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建设单位应组织设计单位对施工便道开展水土保持设计，组织施工单位严格按照水土保持方案及后续设计要求落实水土保持防护措施。</w:t>
            </w:r>
          </w:p>
        </w:tc>
        <w:tc>
          <w:tcPr>
            <w:tcW w:w="1344" w:type="dxa"/>
            <w:noWrap w:val="0"/>
            <w:vAlign w:val="center"/>
          </w:tcPr>
          <w:p w14:paraId="7F9DD6D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6477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69" w:hRule="atLeast"/>
          <w:jc w:val="center"/>
        </w:trPr>
        <w:tc>
          <w:tcPr>
            <w:tcW w:w="866" w:type="dxa"/>
            <w:noWrap w:val="0"/>
            <w:vAlign w:val="center"/>
          </w:tcPr>
          <w:p w14:paraId="04A9158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8</w:t>
            </w:r>
          </w:p>
        </w:tc>
        <w:tc>
          <w:tcPr>
            <w:tcW w:w="2817" w:type="dxa"/>
            <w:noWrap w:val="0"/>
            <w:vAlign w:val="center"/>
          </w:tcPr>
          <w:p w14:paraId="6CAD0C3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项目部分表土集中堆存区拦挡、排水等水土保持临时防护措施落实不到位。</w:t>
            </w:r>
          </w:p>
        </w:tc>
        <w:tc>
          <w:tcPr>
            <w:tcW w:w="3267" w:type="dxa"/>
            <w:noWrap w:val="0"/>
            <w:vAlign w:val="center"/>
          </w:tcPr>
          <w:p w14:paraId="2C5E8DA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二道木图取土场表土堆存区未落实临时拦挡和排水措施。</w:t>
            </w:r>
          </w:p>
        </w:tc>
        <w:tc>
          <w:tcPr>
            <w:tcW w:w="935" w:type="dxa"/>
            <w:noWrap w:val="0"/>
            <w:vAlign w:val="center"/>
          </w:tcPr>
          <w:p w14:paraId="3E69DFA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43FC18F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1B0762A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5C4CAF6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建设单位应组织施工单位严格按照水土保持方案及后续设计要求落实表土集中堆存区拦挡、排水等临时防护措施。</w:t>
            </w:r>
          </w:p>
        </w:tc>
        <w:tc>
          <w:tcPr>
            <w:tcW w:w="1344" w:type="dxa"/>
            <w:noWrap w:val="0"/>
            <w:vAlign w:val="center"/>
          </w:tcPr>
          <w:p w14:paraId="65CE96A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bl>
    <w:p w14:paraId="39CC19CB">
      <w:pPr>
        <w:snapToGrid/>
        <w:spacing w:before="0" w:beforeLines="0" w:after="0" w:afterLines="0" w:line="240" w:lineRule="auto"/>
        <w:jc w:val="both"/>
        <w:rPr>
          <w:rFonts w:hint="default" w:ascii="黑体" w:hAnsi="黑体" w:eastAsia="黑体" w:cs="黑体"/>
          <w:color w:val="000000"/>
          <w:sz w:val="32"/>
          <w:szCs w:val="32"/>
          <w:highlight w:val="none"/>
          <w:lang w:val="en-US" w:eastAsia="zh-CN"/>
        </w:rPr>
      </w:pPr>
      <w:r>
        <w:rPr>
          <w:rFonts w:hint="eastAsia" w:ascii="仿宋_GB2312" w:hAnsi="仿宋_GB2312" w:eastAsia="仿宋_GB2312" w:cs="仿宋_GB2312"/>
          <w:sz w:val="32"/>
          <w:szCs w:val="32"/>
          <w:lang w:val="en-US" w:eastAsia="zh-CN"/>
        </w:rPr>
        <w:br w:type="page"/>
      </w:r>
      <w:bookmarkStart w:id="0" w:name="_GoBack"/>
      <w:r>
        <w:rPr>
          <w:rFonts w:hint="eastAsia" w:ascii="黑体" w:hAnsi="黑体" w:eastAsia="黑体" w:cs="黑体"/>
          <w:color w:val="000000"/>
          <w:sz w:val="32"/>
          <w:szCs w:val="32"/>
          <w:highlight w:val="none"/>
          <w:lang w:eastAsia="zh-CN"/>
        </w:rPr>
        <w:t>附件</w:t>
      </w:r>
      <w:r>
        <w:rPr>
          <w:rFonts w:hint="eastAsia" w:ascii="黑体" w:hAnsi="黑体" w:eastAsia="黑体" w:cs="黑体"/>
          <w:color w:val="000000"/>
          <w:sz w:val="32"/>
          <w:szCs w:val="32"/>
          <w:highlight w:val="none"/>
          <w:lang w:val="en-US" w:eastAsia="zh-CN"/>
        </w:rPr>
        <w:t>2</w:t>
      </w:r>
      <w:bookmarkEnd w:id="0"/>
    </w:p>
    <w:p w14:paraId="5FBA31EB">
      <w:pPr>
        <w:snapToGrid/>
        <w:spacing w:before="298" w:beforeLines="50" w:after="298" w:afterLines="50" w:line="0" w:lineRule="atLeas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简体" w:hAnsi="方正小标宋简体" w:eastAsia="方正小标宋简体" w:cs="方正小标宋简体"/>
          <w:color w:val="000000"/>
          <w:sz w:val="44"/>
          <w:szCs w:val="44"/>
          <w:highlight w:val="none"/>
        </w:rPr>
        <w:t>问题及整改要求清单</w:t>
      </w:r>
      <w:r>
        <w:rPr>
          <w:rFonts w:hint="eastAsia" w:ascii="方正小标宋简体" w:hAnsi="方正小标宋简体" w:eastAsia="方正小标宋简体" w:cs="方正小标宋简体"/>
          <w:color w:val="000000"/>
          <w:sz w:val="44"/>
          <w:szCs w:val="44"/>
          <w:highlight w:val="none"/>
          <w:lang w:eastAsia="zh-CN"/>
        </w:rPr>
        <w:t>（河北段）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817"/>
        <w:gridCol w:w="3267"/>
        <w:gridCol w:w="935"/>
        <w:gridCol w:w="1931"/>
        <w:gridCol w:w="3225"/>
        <w:gridCol w:w="1344"/>
      </w:tblGrid>
      <w:tr w14:paraId="7FC5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66" w:type="dxa"/>
            <w:noWrap w:val="0"/>
            <w:vAlign w:val="center"/>
          </w:tcPr>
          <w:p w14:paraId="614952FB">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val="en-US" w:eastAsia="zh-CN"/>
              </w:rPr>
            </w:pPr>
            <w:r>
              <w:rPr>
                <w:rFonts w:hint="eastAsia" w:ascii="黑体" w:hAnsi="黑体" w:eastAsia="黑体" w:cs="黑体"/>
                <w:b w:val="0"/>
                <w:bCs w:val="0"/>
                <w:color w:val="000000"/>
                <w:kern w:val="2"/>
                <w:sz w:val="28"/>
                <w:szCs w:val="28"/>
                <w:highlight w:val="none"/>
                <w:lang w:val="en-US" w:eastAsia="zh-CN"/>
              </w:rPr>
              <w:t>序号</w:t>
            </w:r>
          </w:p>
        </w:tc>
        <w:tc>
          <w:tcPr>
            <w:tcW w:w="2817" w:type="dxa"/>
            <w:noWrap w:val="0"/>
            <w:vAlign w:val="center"/>
          </w:tcPr>
          <w:p w14:paraId="2BB4CB30">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存在问题</w:t>
            </w:r>
          </w:p>
        </w:tc>
        <w:tc>
          <w:tcPr>
            <w:tcW w:w="3267" w:type="dxa"/>
            <w:noWrap w:val="0"/>
            <w:vAlign w:val="center"/>
          </w:tcPr>
          <w:p w14:paraId="066922F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问题具体位置</w:t>
            </w:r>
          </w:p>
          <w:p w14:paraId="0B68D8E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（情形）</w:t>
            </w:r>
          </w:p>
        </w:tc>
        <w:tc>
          <w:tcPr>
            <w:tcW w:w="935" w:type="dxa"/>
            <w:noWrap w:val="0"/>
            <w:vAlign w:val="center"/>
          </w:tcPr>
          <w:p w14:paraId="30E99D2B">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w:t>
            </w:r>
          </w:p>
          <w:p w14:paraId="7857931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性质</w:t>
            </w:r>
          </w:p>
        </w:tc>
        <w:tc>
          <w:tcPr>
            <w:tcW w:w="1931" w:type="dxa"/>
            <w:noWrap w:val="0"/>
            <w:vAlign w:val="center"/>
          </w:tcPr>
          <w:p w14:paraId="49A0848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责任对象</w:t>
            </w:r>
          </w:p>
        </w:tc>
        <w:tc>
          <w:tcPr>
            <w:tcW w:w="3225" w:type="dxa"/>
            <w:noWrap w:val="0"/>
            <w:vAlign w:val="center"/>
          </w:tcPr>
          <w:p w14:paraId="2E30C79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整改要求</w:t>
            </w:r>
          </w:p>
        </w:tc>
        <w:tc>
          <w:tcPr>
            <w:tcW w:w="1344" w:type="dxa"/>
            <w:noWrap w:val="0"/>
            <w:vAlign w:val="center"/>
          </w:tcPr>
          <w:p w14:paraId="03E72F6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拟采取的责任追究方式</w:t>
            </w:r>
          </w:p>
        </w:tc>
      </w:tr>
      <w:tr w14:paraId="5DA0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6" w:hRule="atLeast"/>
          <w:jc w:val="center"/>
        </w:trPr>
        <w:tc>
          <w:tcPr>
            <w:tcW w:w="866" w:type="dxa"/>
            <w:noWrap w:val="0"/>
            <w:vAlign w:val="center"/>
          </w:tcPr>
          <w:p w14:paraId="7AF5D89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w:t>
            </w:r>
          </w:p>
        </w:tc>
        <w:tc>
          <w:tcPr>
            <w:tcW w:w="2817" w:type="dxa"/>
            <w:noWrap w:val="0"/>
            <w:vAlign w:val="center"/>
          </w:tcPr>
          <w:p w14:paraId="0103D9C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项目部分弃渣场未按照水土保持方案及后续设计要求进行分级放坡，截排水、土地整治等水土保持工程措施落实不及时、不到位，存在较重水土流失隐患。</w:t>
            </w:r>
          </w:p>
        </w:tc>
        <w:tc>
          <w:tcPr>
            <w:tcW w:w="3267" w:type="dxa"/>
            <w:noWrap w:val="0"/>
            <w:vAlign w:val="center"/>
          </w:tcPr>
          <w:p w14:paraId="3DDD44DA">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崇黑隧道1号弃渣场、崇黑隧道5号弃渣场分级放坡不符合要求，未全部落实排水沟，部分排水沟堵塞；张北1号弃土场土地整治不到位。</w:t>
            </w:r>
          </w:p>
        </w:tc>
        <w:tc>
          <w:tcPr>
            <w:tcW w:w="935" w:type="dxa"/>
            <w:noWrap w:val="0"/>
            <w:vAlign w:val="center"/>
          </w:tcPr>
          <w:p w14:paraId="1E3C487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较重</w:t>
            </w:r>
          </w:p>
        </w:tc>
        <w:tc>
          <w:tcPr>
            <w:tcW w:w="1931" w:type="dxa"/>
            <w:noWrap w:val="0"/>
            <w:vAlign w:val="center"/>
          </w:tcPr>
          <w:p w14:paraId="275AEB4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754BF3E1">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397A55E7">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建设单位应组织施工单位严格按照水土保持方案及后续设计要求落实弃渣场分级放坡、截排水、土地整治等措施，消除水土流失隐患。</w:t>
            </w:r>
          </w:p>
        </w:tc>
        <w:tc>
          <w:tcPr>
            <w:tcW w:w="1344" w:type="dxa"/>
            <w:noWrap w:val="0"/>
            <w:vAlign w:val="center"/>
          </w:tcPr>
          <w:p w14:paraId="442D4D2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约谈</w:t>
            </w:r>
          </w:p>
        </w:tc>
      </w:tr>
      <w:tr w14:paraId="3519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0" w:hRule="atLeast"/>
          <w:jc w:val="center"/>
        </w:trPr>
        <w:tc>
          <w:tcPr>
            <w:tcW w:w="866" w:type="dxa"/>
            <w:noWrap w:val="0"/>
            <w:vAlign w:val="center"/>
          </w:tcPr>
          <w:p w14:paraId="399296A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2</w:t>
            </w:r>
          </w:p>
        </w:tc>
        <w:tc>
          <w:tcPr>
            <w:tcW w:w="2817" w:type="dxa"/>
            <w:noWrap w:val="0"/>
            <w:vAlign w:val="center"/>
          </w:tcPr>
          <w:p w14:paraId="64B7ECE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崇黑隧道5号弃渣场底部设置碎石加工厂，存在敏感因素。</w:t>
            </w:r>
          </w:p>
        </w:tc>
        <w:tc>
          <w:tcPr>
            <w:tcW w:w="3267" w:type="dxa"/>
            <w:noWrap w:val="0"/>
            <w:vAlign w:val="center"/>
          </w:tcPr>
          <w:p w14:paraId="712C3BBF">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崇黑隧道5号弃渣场。</w:t>
            </w:r>
          </w:p>
        </w:tc>
        <w:tc>
          <w:tcPr>
            <w:tcW w:w="935" w:type="dxa"/>
            <w:noWrap w:val="0"/>
            <w:vAlign w:val="center"/>
          </w:tcPr>
          <w:p w14:paraId="3EFF908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较重</w:t>
            </w:r>
          </w:p>
        </w:tc>
        <w:tc>
          <w:tcPr>
            <w:tcW w:w="1931" w:type="dxa"/>
            <w:noWrap w:val="0"/>
            <w:vAlign w:val="center"/>
          </w:tcPr>
          <w:p w14:paraId="4371A69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30CC2A4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1B03B2A6">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建设单位应组织对存在敏感因素的弃渣场开展失事影响专题分析，明确对敏感因素的影响，提出并落实相应对策措施。</w:t>
            </w:r>
          </w:p>
        </w:tc>
        <w:tc>
          <w:tcPr>
            <w:tcW w:w="1344" w:type="dxa"/>
            <w:noWrap w:val="0"/>
            <w:vAlign w:val="center"/>
          </w:tcPr>
          <w:p w14:paraId="3B9D8D5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约谈</w:t>
            </w:r>
          </w:p>
        </w:tc>
      </w:tr>
      <w:tr w14:paraId="7A3B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3" w:hRule="atLeast"/>
          <w:jc w:val="center"/>
        </w:trPr>
        <w:tc>
          <w:tcPr>
            <w:tcW w:w="866" w:type="dxa"/>
            <w:noWrap w:val="0"/>
            <w:vAlign w:val="center"/>
          </w:tcPr>
          <w:p w14:paraId="4D25531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3</w:t>
            </w:r>
          </w:p>
        </w:tc>
        <w:tc>
          <w:tcPr>
            <w:tcW w:w="2817" w:type="dxa"/>
            <w:noWrap w:val="0"/>
            <w:vAlign w:val="center"/>
          </w:tcPr>
          <w:p w14:paraId="2E7CBB3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取土场取土方式和分级放坡不符合水土保持方案及后续设计要求，挡水埂、排水沟、截水天沟、排水顺接等水土保持工程措施落实不到位；部分取土场未按设计取土，取土后形成的终采平台与设计不一致，形成高陡边坡，现场凌乱无序，存在较重水土流失隐患。</w:t>
            </w:r>
          </w:p>
        </w:tc>
        <w:tc>
          <w:tcPr>
            <w:tcW w:w="3267" w:type="dxa"/>
            <w:noWrap w:val="0"/>
            <w:vAlign w:val="center"/>
          </w:tcPr>
          <w:p w14:paraId="786D3E8B">
            <w:pPr>
              <w:keepNext w:val="0"/>
              <w:keepLines w:val="0"/>
              <w:pageBreakBefore w:val="0"/>
              <w:widowControl/>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TPLJQQ-1、TPL-3取土场取土方式和分级放坡不符合设计要求，未落实挡水埂、排水沟；ZBLQQ-1取土场截排水设施不完善；ZBLQQ-7取土场排水未顺接至自然沟道；</w:t>
            </w:r>
          </w:p>
          <w:p w14:paraId="15B0BE52">
            <w:pPr>
              <w:widowControl/>
              <w:numPr>
                <w:ilvl w:val="0"/>
                <w:numId w:val="0"/>
              </w:numPr>
              <w:spacing w:beforeLines="0" w:afterLines="0" w:line="0" w:lineRule="atLeast"/>
              <w:jc w:val="left"/>
              <w:rPr>
                <w:rFonts w:hint="eastAsia" w:ascii="仿宋_GB2312" w:hAnsi="仿宋_GB2312" w:eastAsia="仿宋_GB2312" w:cs="仿宋_GB2312"/>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TPLJQQ-5、GYL-4、GYLJQQ-3-1、GYL-2取土场取土形成的终采平台与设计不一致，存在较重水土流失隐患。</w:t>
            </w:r>
          </w:p>
        </w:tc>
        <w:tc>
          <w:tcPr>
            <w:tcW w:w="935" w:type="dxa"/>
            <w:noWrap w:val="0"/>
            <w:vAlign w:val="center"/>
          </w:tcPr>
          <w:p w14:paraId="48377CD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较重</w:t>
            </w:r>
          </w:p>
        </w:tc>
        <w:tc>
          <w:tcPr>
            <w:tcW w:w="1931" w:type="dxa"/>
            <w:noWrap w:val="0"/>
            <w:vAlign w:val="center"/>
          </w:tcPr>
          <w:p w14:paraId="73C7ECD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0FAF3F6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04D0A814">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color w:val="000000"/>
                <w:kern w:val="2"/>
                <w:sz w:val="28"/>
                <w:szCs w:val="28"/>
                <w:highlight w:val="none"/>
                <w:lang w:val="en-US" w:eastAsia="zh-CN"/>
              </w:rPr>
              <w:t>建设单位应组织施工单位严格按照水土保持方案及后续设计要求规范取土，控制取土场边坡高度和坡度，落实挡水埂、排水沟、截水天沟、排水顺接等水土保持措施。对于取土后形成的终采平台与设计不一致的取土场，建设单位应组织设计单位根据施工现状开展终采平台设计，并落实各项措施，消除水土流失隐患。</w:t>
            </w:r>
          </w:p>
        </w:tc>
        <w:tc>
          <w:tcPr>
            <w:tcW w:w="1344" w:type="dxa"/>
            <w:noWrap w:val="0"/>
            <w:vAlign w:val="center"/>
          </w:tcPr>
          <w:p w14:paraId="552604D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约谈</w:t>
            </w:r>
          </w:p>
        </w:tc>
      </w:tr>
      <w:tr w14:paraId="5DF2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1" w:hRule="atLeast"/>
          <w:jc w:val="center"/>
        </w:trPr>
        <w:tc>
          <w:tcPr>
            <w:tcW w:w="866" w:type="dxa"/>
            <w:noWrap w:val="0"/>
            <w:vAlign w:val="center"/>
          </w:tcPr>
          <w:p w14:paraId="5CD1F37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4</w:t>
            </w:r>
          </w:p>
        </w:tc>
        <w:tc>
          <w:tcPr>
            <w:tcW w:w="2817" w:type="dxa"/>
            <w:noWrap w:val="0"/>
            <w:vAlign w:val="center"/>
          </w:tcPr>
          <w:p w14:paraId="56AFCDD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项目已开采至设计坡面的取土场部分区域植被恢复效果较差。</w:t>
            </w:r>
          </w:p>
        </w:tc>
        <w:tc>
          <w:tcPr>
            <w:tcW w:w="3267" w:type="dxa"/>
            <w:noWrap w:val="0"/>
            <w:vAlign w:val="center"/>
          </w:tcPr>
          <w:p w14:paraId="6AB84EB3">
            <w:pPr>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ZBLQQ-7取土场。</w:t>
            </w:r>
          </w:p>
        </w:tc>
        <w:tc>
          <w:tcPr>
            <w:tcW w:w="935" w:type="dxa"/>
            <w:noWrap w:val="0"/>
            <w:vAlign w:val="center"/>
          </w:tcPr>
          <w:p w14:paraId="165C7A96">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0F0767B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6520756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17AB4839">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color w:val="000000"/>
                <w:kern w:val="2"/>
                <w:sz w:val="28"/>
                <w:szCs w:val="28"/>
                <w:highlight w:val="none"/>
                <w:lang w:val="en-US" w:eastAsia="zh-CN"/>
              </w:rPr>
            </w:pPr>
            <w:r>
              <w:rPr>
                <w:rFonts w:hint="eastAsia" w:ascii="仿宋_GB2312" w:hAnsi="仿宋_GB2312" w:eastAsia="仿宋_GB2312" w:cs="仿宋_GB2312"/>
                <w:color w:val="000000"/>
                <w:kern w:val="2"/>
                <w:sz w:val="28"/>
                <w:szCs w:val="28"/>
                <w:highlight w:val="none"/>
                <w:lang w:val="en-US" w:eastAsia="zh-CN"/>
              </w:rPr>
              <w:t>建设单位应组织施工单位严格按照水土保持方案及后续设计要求落实取土场植被恢复措施，对植被恢复效果较差的区域进行补植补种并加强后期养护。</w:t>
            </w:r>
          </w:p>
        </w:tc>
        <w:tc>
          <w:tcPr>
            <w:tcW w:w="1344" w:type="dxa"/>
            <w:noWrap w:val="0"/>
            <w:vAlign w:val="center"/>
          </w:tcPr>
          <w:p w14:paraId="040C951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3B86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1" w:hRule="atLeast"/>
          <w:jc w:val="center"/>
        </w:trPr>
        <w:tc>
          <w:tcPr>
            <w:tcW w:w="866" w:type="dxa"/>
            <w:noWrap w:val="0"/>
            <w:vAlign w:val="center"/>
          </w:tcPr>
          <w:p w14:paraId="7EBDC8B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bidi="ar-SA"/>
              </w:rPr>
              <w:t>5</w:t>
            </w:r>
          </w:p>
        </w:tc>
        <w:tc>
          <w:tcPr>
            <w:tcW w:w="2817" w:type="dxa"/>
            <w:noWrap w:val="0"/>
            <w:vAlign w:val="center"/>
          </w:tcPr>
          <w:p w14:paraId="07ED2A6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bidi="ar-SA"/>
              </w:rPr>
              <w:t>项目部分隧道区和取土场存在临时堆渣、堆土，水土保持防护措施落实不到位，存在水土流失隐患。</w:t>
            </w:r>
          </w:p>
        </w:tc>
        <w:tc>
          <w:tcPr>
            <w:tcW w:w="3267" w:type="dxa"/>
            <w:noWrap w:val="0"/>
            <w:vAlign w:val="center"/>
          </w:tcPr>
          <w:p w14:paraId="66993C0D">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红旗营隧道进口、红旗营隧道出口、石窑子隧道出口、坝顶隧道进口存在</w:t>
            </w:r>
            <w:r>
              <w:rPr>
                <w:rFonts w:hint="eastAsia" w:ascii="仿宋_GB2312" w:hAnsi="仿宋_GB2312" w:eastAsia="仿宋_GB2312" w:cs="仿宋_GB2312"/>
                <w:b w:val="0"/>
                <w:bCs w:val="0"/>
                <w:color w:val="000000"/>
                <w:kern w:val="2"/>
                <w:sz w:val="28"/>
                <w:szCs w:val="28"/>
                <w:highlight w:val="none"/>
                <w:lang w:val="en-US" w:eastAsia="zh-CN" w:bidi="ar-SA"/>
              </w:rPr>
              <w:t>临时堆渣，</w:t>
            </w:r>
            <w:r>
              <w:rPr>
                <w:rFonts w:hint="eastAsia" w:ascii="仿宋_GB2312" w:hAnsi="仿宋_GB2312" w:eastAsia="仿宋_GB2312" w:cs="仿宋_GB2312"/>
                <w:b w:val="0"/>
                <w:bCs w:val="0"/>
                <w:color w:val="000000"/>
                <w:kern w:val="2"/>
                <w:sz w:val="28"/>
                <w:szCs w:val="28"/>
                <w:highlight w:val="none"/>
                <w:lang w:val="en-US" w:eastAsia="zh-CN"/>
              </w:rPr>
              <w:t>TPL-3取土场存在</w:t>
            </w:r>
            <w:r>
              <w:rPr>
                <w:rFonts w:hint="eastAsia" w:ascii="仿宋_GB2312" w:hAnsi="仿宋_GB2312" w:eastAsia="仿宋_GB2312" w:cs="仿宋_GB2312"/>
                <w:b w:val="0"/>
                <w:bCs w:val="0"/>
                <w:color w:val="000000"/>
                <w:kern w:val="2"/>
                <w:sz w:val="28"/>
                <w:szCs w:val="28"/>
                <w:highlight w:val="none"/>
                <w:lang w:val="en-US" w:eastAsia="zh-CN" w:bidi="ar-SA"/>
              </w:rPr>
              <w:t>临时堆土。</w:t>
            </w:r>
          </w:p>
        </w:tc>
        <w:tc>
          <w:tcPr>
            <w:tcW w:w="935" w:type="dxa"/>
            <w:noWrap w:val="0"/>
            <w:vAlign w:val="center"/>
          </w:tcPr>
          <w:p w14:paraId="5BDEA02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52FFA954">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6E01E1FD">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2FF15F13">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bidi="ar-SA"/>
              </w:rPr>
              <w:t>建设单位应组织施工单位严格按照水土保持方案要求弃土（渣），抓紧将隧道区临时堆渣清运至水土保持方案确定的专门存放地，及时清运和利用取土场临时堆土，并做好清运迹地的土地整治和植被恢复工作，消除水土流失隐患。</w:t>
            </w:r>
          </w:p>
        </w:tc>
        <w:tc>
          <w:tcPr>
            <w:tcW w:w="1344" w:type="dxa"/>
            <w:noWrap w:val="0"/>
            <w:vAlign w:val="center"/>
          </w:tcPr>
          <w:p w14:paraId="360A74A7">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46E5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2" w:hRule="atLeast"/>
          <w:jc w:val="center"/>
        </w:trPr>
        <w:tc>
          <w:tcPr>
            <w:tcW w:w="866" w:type="dxa"/>
            <w:noWrap w:val="0"/>
            <w:vAlign w:val="center"/>
          </w:tcPr>
          <w:p w14:paraId="0DBB3EF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6</w:t>
            </w:r>
          </w:p>
        </w:tc>
        <w:tc>
          <w:tcPr>
            <w:tcW w:w="2817" w:type="dxa"/>
            <w:noWrap w:val="0"/>
            <w:vAlign w:val="center"/>
          </w:tcPr>
          <w:p w14:paraId="3B57045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项目部分施工便道区形成高陡边坡，未开展水土保持设计，未采取水土保持防护措施。</w:t>
            </w:r>
          </w:p>
        </w:tc>
        <w:tc>
          <w:tcPr>
            <w:tcW w:w="3267" w:type="dxa"/>
            <w:noWrap w:val="0"/>
            <w:vAlign w:val="center"/>
          </w:tcPr>
          <w:p w14:paraId="1996A74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崇黑隧道1号弃渣场施工道路。</w:t>
            </w:r>
          </w:p>
        </w:tc>
        <w:tc>
          <w:tcPr>
            <w:tcW w:w="935" w:type="dxa"/>
            <w:noWrap w:val="0"/>
            <w:vAlign w:val="center"/>
          </w:tcPr>
          <w:p w14:paraId="32E3797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5CF6876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3D68223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设计单位</w:t>
            </w:r>
          </w:p>
          <w:p w14:paraId="0640908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6384D8B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建设单位应组织设计单位对施工便道区开展水土保持设计，组织施工单位严格按照水土保持方案及后续设计要求落实水土保持防护措施。</w:t>
            </w:r>
          </w:p>
        </w:tc>
        <w:tc>
          <w:tcPr>
            <w:tcW w:w="1344" w:type="dxa"/>
            <w:noWrap w:val="0"/>
            <w:vAlign w:val="center"/>
          </w:tcPr>
          <w:p w14:paraId="3A5AE31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645D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0" w:hRule="atLeast"/>
          <w:jc w:val="center"/>
        </w:trPr>
        <w:tc>
          <w:tcPr>
            <w:tcW w:w="866" w:type="dxa"/>
            <w:noWrap w:val="0"/>
            <w:vAlign w:val="center"/>
          </w:tcPr>
          <w:p w14:paraId="62BE450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7</w:t>
            </w:r>
          </w:p>
        </w:tc>
        <w:tc>
          <w:tcPr>
            <w:tcW w:w="2817" w:type="dxa"/>
            <w:noWrap w:val="0"/>
            <w:vAlign w:val="center"/>
          </w:tcPr>
          <w:p w14:paraId="1678D51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项目个别路基区存在溜渣，拱形骨架护坡、植被恢复等措施落实不到位。</w:t>
            </w:r>
          </w:p>
        </w:tc>
        <w:tc>
          <w:tcPr>
            <w:tcW w:w="3267" w:type="dxa"/>
            <w:noWrap w:val="0"/>
            <w:vAlign w:val="center"/>
          </w:tcPr>
          <w:p w14:paraId="12BF89D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DK81+900存在溜渣，拱形骨架护坡落实不到位；DK148+450植被恢复落实不到位。</w:t>
            </w:r>
          </w:p>
        </w:tc>
        <w:tc>
          <w:tcPr>
            <w:tcW w:w="935" w:type="dxa"/>
            <w:noWrap w:val="0"/>
            <w:vAlign w:val="center"/>
          </w:tcPr>
          <w:p w14:paraId="66219F2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01E483A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2481CE6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7A73435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建设单位应组织施工单位对路基区溜渣进行清理，并严格按照水土保持方案及后续设计要求落实拱形骨架护坡、植被恢复等水土保持措施。</w:t>
            </w:r>
          </w:p>
        </w:tc>
        <w:tc>
          <w:tcPr>
            <w:tcW w:w="1344" w:type="dxa"/>
            <w:noWrap w:val="0"/>
            <w:vAlign w:val="center"/>
          </w:tcPr>
          <w:p w14:paraId="4D0A1C6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2550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5" w:hRule="atLeast"/>
          <w:jc w:val="center"/>
        </w:trPr>
        <w:tc>
          <w:tcPr>
            <w:tcW w:w="866" w:type="dxa"/>
            <w:noWrap w:val="0"/>
            <w:vAlign w:val="center"/>
          </w:tcPr>
          <w:p w14:paraId="67BE803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8</w:t>
            </w:r>
          </w:p>
        </w:tc>
        <w:tc>
          <w:tcPr>
            <w:tcW w:w="2817" w:type="dxa"/>
            <w:noWrap w:val="0"/>
            <w:vAlign w:val="center"/>
          </w:tcPr>
          <w:p w14:paraId="4084C08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项目部分表土集中堆存区拦挡、排水等水土保持临时防护措施落实不到位，部分表土与渣土混堆。</w:t>
            </w:r>
          </w:p>
        </w:tc>
        <w:tc>
          <w:tcPr>
            <w:tcW w:w="3267" w:type="dxa"/>
            <w:noWrap w:val="0"/>
            <w:vAlign w:val="center"/>
          </w:tcPr>
          <w:p w14:paraId="46B5883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崇黑隧道1号弃渣场、崇黑隧道5号弃渣场表土未堆存在设计指定位置，部分表土与渣土混堆，未落实临时拦挡和排水措施；ZBLQQ-5取土场表土堆存区、张北1号弃土场表土堆存区未落实临时拦挡和排水措施。</w:t>
            </w:r>
          </w:p>
        </w:tc>
        <w:tc>
          <w:tcPr>
            <w:tcW w:w="935" w:type="dxa"/>
            <w:noWrap w:val="0"/>
            <w:vAlign w:val="center"/>
          </w:tcPr>
          <w:p w14:paraId="7070A89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271CA04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w:t>
            </w:r>
          </w:p>
          <w:p w14:paraId="1812FE2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05F0403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建设单位应组织施工单位严格按照水土保持方案及后续设计要求落实表土集中堆存区拦挡、排水等临时防护措施，做好表土的集中堆存和防护，避免与渣土混堆。</w:t>
            </w:r>
          </w:p>
        </w:tc>
        <w:tc>
          <w:tcPr>
            <w:tcW w:w="1344" w:type="dxa"/>
            <w:noWrap w:val="0"/>
            <w:vAlign w:val="center"/>
          </w:tcPr>
          <w:p w14:paraId="23AC152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033D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3" w:hRule="atLeast"/>
          <w:jc w:val="center"/>
        </w:trPr>
        <w:tc>
          <w:tcPr>
            <w:tcW w:w="866" w:type="dxa"/>
            <w:noWrap w:val="0"/>
            <w:vAlign w:val="center"/>
          </w:tcPr>
          <w:p w14:paraId="619A969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9</w:t>
            </w:r>
          </w:p>
        </w:tc>
        <w:tc>
          <w:tcPr>
            <w:tcW w:w="2817" w:type="dxa"/>
            <w:noWrap w:val="0"/>
            <w:vAlign w:val="center"/>
          </w:tcPr>
          <w:p w14:paraId="373A92E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spacing w:val="0"/>
                <w:kern w:val="2"/>
                <w:sz w:val="28"/>
                <w:szCs w:val="28"/>
                <w:highlight w:val="none"/>
                <w:lang w:val="en-US" w:eastAsia="zh-CN"/>
              </w:rPr>
              <w:t>项目施工单位未按照水土保持监测单位、水土保持监理单位提出</w:t>
            </w:r>
            <w:r>
              <w:rPr>
                <w:rFonts w:hint="eastAsia" w:ascii="仿宋_GB2312" w:hAnsi="仿宋_GB2312" w:eastAsia="仿宋_GB2312" w:cs="仿宋_GB2312"/>
                <w:b w:val="0"/>
                <w:bCs w:val="0"/>
                <w:color w:val="000000"/>
                <w:spacing w:val="-6"/>
                <w:kern w:val="2"/>
                <w:sz w:val="28"/>
                <w:szCs w:val="28"/>
                <w:highlight w:val="none"/>
                <w:lang w:val="en-US" w:eastAsia="zh-CN"/>
              </w:rPr>
              <w:t>的要求对存在的水土保持问题进行整改。</w:t>
            </w:r>
          </w:p>
        </w:tc>
        <w:tc>
          <w:tcPr>
            <w:tcW w:w="3267" w:type="dxa"/>
            <w:noWrap w:val="0"/>
            <w:vAlign w:val="center"/>
          </w:tcPr>
          <w:p w14:paraId="5B8FD1C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弃渣场、取土场、临时堆渣区域等存在的水土保持问题。</w:t>
            </w:r>
          </w:p>
        </w:tc>
        <w:tc>
          <w:tcPr>
            <w:tcW w:w="935" w:type="dxa"/>
            <w:noWrap w:val="0"/>
            <w:vAlign w:val="center"/>
          </w:tcPr>
          <w:p w14:paraId="34B6190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较重</w:t>
            </w:r>
          </w:p>
        </w:tc>
        <w:tc>
          <w:tcPr>
            <w:tcW w:w="1931" w:type="dxa"/>
            <w:noWrap w:val="0"/>
            <w:vAlign w:val="center"/>
          </w:tcPr>
          <w:p w14:paraId="0356844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w:t>
            </w:r>
          </w:p>
        </w:tc>
        <w:tc>
          <w:tcPr>
            <w:tcW w:w="3225" w:type="dxa"/>
            <w:noWrap w:val="0"/>
            <w:vAlign w:val="center"/>
          </w:tcPr>
          <w:p w14:paraId="450BA29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施工单位应严格按照水土保持监测单位、水土保持监理单位提出的要求对存在的水土保持问题进行整改。</w:t>
            </w:r>
          </w:p>
        </w:tc>
        <w:tc>
          <w:tcPr>
            <w:tcW w:w="1344" w:type="dxa"/>
            <w:noWrap w:val="0"/>
            <w:vAlign w:val="center"/>
          </w:tcPr>
          <w:p w14:paraId="4A0E9C2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2617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8" w:hRule="atLeast"/>
          <w:jc w:val="center"/>
        </w:trPr>
        <w:tc>
          <w:tcPr>
            <w:tcW w:w="866" w:type="dxa"/>
            <w:noWrap w:val="0"/>
            <w:vAlign w:val="center"/>
          </w:tcPr>
          <w:p w14:paraId="07DF14B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10</w:t>
            </w:r>
          </w:p>
        </w:tc>
        <w:tc>
          <w:tcPr>
            <w:tcW w:w="2817" w:type="dxa"/>
            <w:noWrap w:val="0"/>
            <w:vAlign w:val="center"/>
          </w:tcPr>
          <w:p w14:paraId="380A096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项目水土保持监测单位未对3级及以上弃渣场开展视频监控。</w:t>
            </w:r>
          </w:p>
        </w:tc>
        <w:tc>
          <w:tcPr>
            <w:tcW w:w="3267" w:type="dxa"/>
            <w:noWrap w:val="0"/>
            <w:vAlign w:val="center"/>
          </w:tcPr>
          <w:p w14:paraId="52D5EEE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崇黑隧道5号弃渣场。</w:t>
            </w:r>
          </w:p>
        </w:tc>
        <w:tc>
          <w:tcPr>
            <w:tcW w:w="935" w:type="dxa"/>
            <w:noWrap w:val="0"/>
            <w:vAlign w:val="center"/>
          </w:tcPr>
          <w:p w14:paraId="4128390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931" w:type="dxa"/>
            <w:noWrap w:val="0"/>
            <w:vAlign w:val="center"/>
          </w:tcPr>
          <w:p w14:paraId="375915F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水土保持</w:t>
            </w:r>
          </w:p>
          <w:p w14:paraId="239EEE4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监测单位</w:t>
            </w:r>
          </w:p>
        </w:tc>
        <w:tc>
          <w:tcPr>
            <w:tcW w:w="3225" w:type="dxa"/>
            <w:noWrap w:val="0"/>
            <w:vAlign w:val="center"/>
          </w:tcPr>
          <w:p w14:paraId="45D1FED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水土保持监测单位应对3级及以上弃渣场开展视频监控。</w:t>
            </w:r>
          </w:p>
        </w:tc>
        <w:tc>
          <w:tcPr>
            <w:tcW w:w="1344" w:type="dxa"/>
            <w:noWrap w:val="0"/>
            <w:vAlign w:val="center"/>
          </w:tcPr>
          <w:p w14:paraId="1432C7A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bl>
    <w:p w14:paraId="49695A7E">
      <w:pPr>
        <w:keepNext w:val="0"/>
        <w:keepLines w:val="0"/>
        <w:pageBreakBefore w:val="0"/>
        <w:widowControl w:val="0"/>
        <w:kinsoku/>
        <w:wordWrap/>
        <w:overflowPunct/>
        <w:topLinePunct w:val="0"/>
        <w:autoSpaceDE/>
        <w:autoSpaceDN/>
        <w:bidi w:val="0"/>
        <w:adjustRightInd/>
        <w:snapToGrid/>
        <w:spacing w:beforeLines="0" w:afterLines="0" w:line="300" w:lineRule="exact"/>
        <w:ind w:right="0" w:rightChars="0"/>
        <w:jc w:val="both"/>
        <w:textAlignment w:val="auto"/>
        <w:outlineLvl w:val="9"/>
        <w:rPr>
          <w:rFonts w:hint="eastAsia" w:ascii="仿宋_GB2312" w:hAnsi="仿宋_GB2312" w:eastAsia="仿宋_GB2312" w:cs="仿宋_GB2312"/>
          <w:sz w:val="21"/>
          <w:szCs w:val="21"/>
          <w:lang w:val="en-US" w:eastAsia="zh-CN"/>
        </w:rPr>
        <w:sectPr>
          <w:footerReference r:id="rId3" w:type="default"/>
          <w:pgSz w:w="16838" w:h="11905" w:orient="landscape"/>
          <w:pgMar w:top="1531" w:right="1956" w:bottom="1502" w:left="1843" w:header="850" w:footer="1134" w:gutter="0"/>
          <w:pgNumType w:fmt="decimal"/>
          <w:cols w:space="720" w:num="1"/>
          <w:rtlGutter w:val="0"/>
          <w:docGrid w:type="linesAndChars" w:linePitch="592" w:charSpace="-819"/>
        </w:sectPr>
      </w:pPr>
    </w:p>
    <w:p w14:paraId="7633696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F40D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F75288"/>
    <w:rsid w:val="78F75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cs="Arial"/>
      <w:sz w:val="24"/>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2026-10-10T02:00:00Z</dcterms:created>
  <dc:creator>齐征</dc:creator>
  <cp:lastModifiedBy>齐征</cp:lastModifiedBy>
  <dcterms:modified xsi:type="dcterms:W3CDTF">2026-10-10T02:07:36Z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4F372E9A4BA14AE1ACAA19764F934E7D_11</vt:lpwstr>
  </property>
  <property fmtid="{D5CDD505-2E9C-101B-9397-08002B2CF9AE}" pid="4" name="KSOTemplateDocerSaveRecord">
    <vt:lpwstr>eyJoZGlkIjoiMGYxODk3MTQzOTlhZDliZTlhNmMzNDY2YjJiZjcwMWEifQ==</vt:lpwstr>
  </property>
</Properties>
</file>