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085AD">
      <w:pPr>
        <w:snapToGrid/>
        <w:spacing w:before="0" w:beforeLines="0" w:after="0" w:afterLines="0" w:line="240" w:lineRule="auto"/>
        <w:jc w:val="both"/>
        <w:rPr>
          <w:rFonts w:hint="eastAsia" w:ascii="黑体" w:hAnsi="黑体" w:eastAsia="黑体" w:cs="黑体"/>
          <w:color w:val="000000"/>
          <w:sz w:val="32"/>
          <w:szCs w:val="32"/>
          <w:highlight w:val="none"/>
          <w:lang w:eastAsia="zh-CN"/>
        </w:rPr>
      </w:pPr>
      <w:r>
        <w:rPr>
          <w:rFonts w:hint="eastAsia" w:ascii="黑体" w:hAnsi="黑体" w:eastAsia="黑体" w:cs="黑体"/>
          <w:color w:val="000000"/>
          <w:sz w:val="32"/>
          <w:szCs w:val="32"/>
          <w:highlight w:val="none"/>
          <w:lang w:eastAsia="zh-CN"/>
        </w:rPr>
        <w:t>附件</w:t>
      </w:r>
    </w:p>
    <w:p w14:paraId="549C3FAB">
      <w:pPr>
        <w:snapToGrid w:val="0"/>
        <w:spacing w:before="0" w:beforeLines="0" w:after="0" w:afterLines="0" w:line="240" w:lineRule="auto"/>
        <w:jc w:val="center"/>
        <w:rPr>
          <w:rFonts w:hint="eastAsia" w:ascii="方正小标宋简体" w:hAnsi="方正小标宋简体" w:eastAsia="方正小标宋简体" w:cs="方正小标宋简体"/>
          <w:color w:val="000000"/>
          <w:sz w:val="44"/>
          <w:szCs w:val="44"/>
          <w:highlight w:val="none"/>
        </w:rPr>
      </w:pPr>
      <w:bookmarkStart w:id="0" w:name="_GoBack"/>
      <w:r>
        <w:rPr>
          <w:rFonts w:hint="eastAsia" w:ascii="方正小标宋简体" w:hAnsi="方正小标宋简体" w:eastAsia="方正小标宋简体" w:cs="方正小标宋简体"/>
          <w:color w:val="000000"/>
          <w:sz w:val="44"/>
          <w:szCs w:val="44"/>
          <w:highlight w:val="none"/>
        </w:rPr>
        <w:t>问题及整改要求清单</w:t>
      </w:r>
    </w:p>
    <w:bookmarkEnd w:id="0"/>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2817"/>
        <w:gridCol w:w="3267"/>
        <w:gridCol w:w="1150"/>
        <w:gridCol w:w="1716"/>
        <w:gridCol w:w="3225"/>
        <w:gridCol w:w="1344"/>
      </w:tblGrid>
      <w:tr w14:paraId="67F20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jc w:val="center"/>
        </w:trPr>
        <w:tc>
          <w:tcPr>
            <w:tcW w:w="866" w:type="dxa"/>
            <w:noWrap w:val="0"/>
            <w:vAlign w:val="center"/>
          </w:tcPr>
          <w:p w14:paraId="445DB705">
            <w:pPr>
              <w:keepNext w:val="0"/>
              <w:keepLines w:val="0"/>
              <w:pageBreakBefore w:val="0"/>
              <w:kinsoku/>
              <w:wordWrap/>
              <w:overflowPunct/>
              <w:topLinePunct w:val="0"/>
              <w:autoSpaceDE/>
              <w:autoSpaceDN/>
              <w:bidi w:val="0"/>
              <w:snapToGrid/>
              <w:spacing w:beforeLines="0" w:afterLines="0" w:line="0" w:lineRule="atLeast"/>
              <w:jc w:val="center"/>
              <w:rPr>
                <w:rFonts w:hint="default" w:ascii="黑体" w:hAnsi="黑体" w:eastAsia="黑体" w:cs="黑体"/>
                <w:b w:val="0"/>
                <w:bCs w:val="0"/>
                <w:color w:val="000000"/>
                <w:kern w:val="2"/>
                <w:sz w:val="28"/>
                <w:szCs w:val="28"/>
                <w:highlight w:val="none"/>
                <w:lang w:val="en-US" w:eastAsia="zh-CN"/>
              </w:rPr>
            </w:pPr>
            <w:r>
              <w:rPr>
                <w:rFonts w:hint="eastAsia" w:ascii="黑体" w:hAnsi="黑体" w:eastAsia="黑体" w:cs="黑体"/>
                <w:b w:val="0"/>
                <w:bCs w:val="0"/>
                <w:color w:val="000000"/>
                <w:kern w:val="2"/>
                <w:sz w:val="28"/>
                <w:szCs w:val="28"/>
                <w:highlight w:val="none"/>
                <w:lang w:val="en-US" w:eastAsia="zh-CN"/>
              </w:rPr>
              <w:t>序号</w:t>
            </w:r>
          </w:p>
        </w:tc>
        <w:tc>
          <w:tcPr>
            <w:tcW w:w="2817" w:type="dxa"/>
            <w:noWrap w:val="0"/>
            <w:vAlign w:val="center"/>
          </w:tcPr>
          <w:p w14:paraId="279B2CE1">
            <w:pPr>
              <w:keepNext w:val="0"/>
              <w:keepLines w:val="0"/>
              <w:pageBreakBefore w:val="0"/>
              <w:kinsoku/>
              <w:wordWrap/>
              <w:overflowPunct/>
              <w:topLinePunct w:val="0"/>
              <w:autoSpaceDE/>
              <w:autoSpaceDN/>
              <w:bidi w:val="0"/>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存在问题</w:t>
            </w:r>
          </w:p>
        </w:tc>
        <w:tc>
          <w:tcPr>
            <w:tcW w:w="3267" w:type="dxa"/>
            <w:noWrap w:val="0"/>
            <w:vAlign w:val="center"/>
          </w:tcPr>
          <w:p w14:paraId="3FD960F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问题具体位置</w:t>
            </w:r>
          </w:p>
          <w:p w14:paraId="738E214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（情形）</w:t>
            </w:r>
          </w:p>
        </w:tc>
        <w:tc>
          <w:tcPr>
            <w:tcW w:w="1150" w:type="dxa"/>
            <w:noWrap w:val="0"/>
            <w:vAlign w:val="center"/>
          </w:tcPr>
          <w:p w14:paraId="4C14386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问题</w:t>
            </w:r>
          </w:p>
          <w:p w14:paraId="3AE9A52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性质</w:t>
            </w:r>
          </w:p>
        </w:tc>
        <w:tc>
          <w:tcPr>
            <w:tcW w:w="1716" w:type="dxa"/>
            <w:noWrap w:val="0"/>
            <w:vAlign w:val="center"/>
          </w:tcPr>
          <w:p w14:paraId="5B281723">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责任对象</w:t>
            </w:r>
          </w:p>
        </w:tc>
        <w:tc>
          <w:tcPr>
            <w:tcW w:w="3225" w:type="dxa"/>
            <w:noWrap w:val="0"/>
            <w:vAlign w:val="center"/>
          </w:tcPr>
          <w:p w14:paraId="44C000B9">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整改要求</w:t>
            </w:r>
          </w:p>
        </w:tc>
        <w:tc>
          <w:tcPr>
            <w:tcW w:w="1344" w:type="dxa"/>
            <w:noWrap w:val="0"/>
            <w:vAlign w:val="center"/>
          </w:tcPr>
          <w:p w14:paraId="4689EF9A">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黑体" w:hAnsi="黑体" w:eastAsia="黑体" w:cs="黑体"/>
                <w:b w:val="0"/>
                <w:bCs w:val="0"/>
                <w:color w:val="000000"/>
                <w:kern w:val="2"/>
                <w:sz w:val="28"/>
                <w:szCs w:val="28"/>
                <w:highlight w:val="none"/>
                <w:lang w:eastAsia="zh-CN"/>
              </w:rPr>
            </w:pPr>
            <w:r>
              <w:rPr>
                <w:rFonts w:hint="eastAsia" w:ascii="黑体" w:hAnsi="黑体" w:eastAsia="黑体" w:cs="黑体"/>
                <w:b w:val="0"/>
                <w:bCs w:val="0"/>
                <w:color w:val="000000"/>
                <w:kern w:val="2"/>
                <w:sz w:val="28"/>
                <w:szCs w:val="28"/>
                <w:highlight w:val="none"/>
                <w:lang w:eastAsia="zh-CN"/>
              </w:rPr>
              <w:t>拟采取的责任追究方式</w:t>
            </w:r>
          </w:p>
        </w:tc>
      </w:tr>
      <w:tr w14:paraId="27F3A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4532CF8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1</w:t>
            </w:r>
          </w:p>
        </w:tc>
        <w:tc>
          <w:tcPr>
            <w:tcW w:w="2817" w:type="dxa"/>
            <w:noWrap w:val="0"/>
            <w:vAlign w:val="center"/>
          </w:tcPr>
          <w:p w14:paraId="44ABDAD0">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项目个别顺坡敷设管线作业带未落实截排水、拦挡等水土保持工程措施。</w:t>
            </w:r>
          </w:p>
        </w:tc>
        <w:tc>
          <w:tcPr>
            <w:tcW w:w="3267" w:type="dxa"/>
            <w:noWrap w:val="0"/>
            <w:vAlign w:val="center"/>
          </w:tcPr>
          <w:p w14:paraId="0F1964B6">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default"/>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CC181管线作业带未落实排水沟、沉沙池、截水沟、挡土墙。</w:t>
            </w:r>
          </w:p>
        </w:tc>
        <w:tc>
          <w:tcPr>
            <w:tcW w:w="1150" w:type="dxa"/>
            <w:noWrap w:val="0"/>
            <w:vAlign w:val="center"/>
          </w:tcPr>
          <w:p w14:paraId="3CA5286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72103BE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0B36138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建设单位应组织施工单位严格按照水土保持方案及后续设计要求落实顺坡敷设管线作业带的截排水、拦挡等水土保持工程措施。</w:t>
            </w:r>
          </w:p>
        </w:tc>
        <w:tc>
          <w:tcPr>
            <w:tcW w:w="1344" w:type="dxa"/>
            <w:noWrap w:val="0"/>
            <w:vAlign w:val="center"/>
          </w:tcPr>
          <w:p w14:paraId="309AAAE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2C626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58F85A69">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2</w:t>
            </w:r>
          </w:p>
        </w:tc>
        <w:tc>
          <w:tcPr>
            <w:tcW w:w="2817" w:type="dxa"/>
            <w:noWrap w:val="0"/>
            <w:vAlign w:val="center"/>
          </w:tcPr>
          <w:p w14:paraId="4152FB57">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项目部分开挖中的管线作业带临时堆土未落实拦挡、排水沟等水土保持临时防护措施；部分穿越工程区拦挡、排水沟、沉沙池等水土保持临时防护措施落实不及时、不到位。</w:t>
            </w:r>
          </w:p>
        </w:tc>
        <w:tc>
          <w:tcPr>
            <w:tcW w:w="3267" w:type="dxa"/>
            <w:noWrap w:val="0"/>
            <w:vAlign w:val="center"/>
          </w:tcPr>
          <w:p w14:paraId="11197DE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CA022、CB122、CC195、BJ035、BJ055管线作业带临时堆土未落实拦挡和排水等水土保持临时防护措施；</w:t>
            </w:r>
          </w:p>
          <w:p w14:paraId="7B29E2CA">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CC052穿越工程区未对临时堆土进行拦挡，施工场地周边未布设排水沟和沉沙池。</w:t>
            </w:r>
          </w:p>
        </w:tc>
        <w:tc>
          <w:tcPr>
            <w:tcW w:w="1150" w:type="dxa"/>
            <w:noWrap w:val="0"/>
            <w:vAlign w:val="center"/>
          </w:tcPr>
          <w:p w14:paraId="2EF8C23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36118755">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0DF96D2B">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建设单位应组织施工单位严格按照水土保持方案及后续设计要求落实管线作业带和穿越工程区的拦挡、排水沟、沉沙池等水土保持临时防护措施。</w:t>
            </w:r>
          </w:p>
        </w:tc>
        <w:tc>
          <w:tcPr>
            <w:tcW w:w="1344" w:type="dxa"/>
            <w:noWrap w:val="0"/>
            <w:vAlign w:val="center"/>
          </w:tcPr>
          <w:p w14:paraId="6BA93EDC">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r w14:paraId="086A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66" w:type="dxa"/>
            <w:noWrap w:val="0"/>
            <w:vAlign w:val="center"/>
          </w:tcPr>
          <w:p w14:paraId="77BD379B">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center"/>
              <w:rPr>
                <w:rFonts w:hint="default"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3</w:t>
            </w:r>
          </w:p>
        </w:tc>
        <w:tc>
          <w:tcPr>
            <w:tcW w:w="2817" w:type="dxa"/>
            <w:noWrap w:val="0"/>
            <w:vAlign w:val="center"/>
          </w:tcPr>
          <w:p w14:paraId="07AF4A2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0" w:lineRule="atLeast"/>
              <w:ind w:left="0" w:leftChars="0" w:firstLine="0" w:firstLineChars="0"/>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项目部分已回填管线作业带、部分施工完毕的穿越工程区植被恢复措施落实不及时、不到位。</w:t>
            </w:r>
          </w:p>
        </w:tc>
        <w:tc>
          <w:tcPr>
            <w:tcW w:w="3267" w:type="dxa"/>
            <w:noWrap w:val="0"/>
            <w:vAlign w:val="center"/>
          </w:tcPr>
          <w:p w14:paraId="21EF08EE">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CA022、CB083、CB103、CB105、CB113管线作业带未进行植被恢复；</w:t>
            </w:r>
          </w:p>
          <w:p w14:paraId="7A7CE53C">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rPr>
            </w:pPr>
            <w:r>
              <w:rPr>
                <w:rFonts w:hint="eastAsia" w:ascii="仿宋_GB2312" w:hAnsi="仿宋_GB2312" w:eastAsia="仿宋_GB2312" w:cs="仿宋_GB2312"/>
                <w:b w:val="0"/>
                <w:bCs w:val="0"/>
                <w:color w:val="000000"/>
                <w:kern w:val="2"/>
                <w:sz w:val="28"/>
                <w:szCs w:val="28"/>
                <w:highlight w:val="none"/>
                <w:lang w:val="en-US" w:eastAsia="zh-CN"/>
              </w:rPr>
              <w:t>CC174、BJ064穿越工程区已施工完毕，未进行植被恢复。</w:t>
            </w:r>
          </w:p>
        </w:tc>
        <w:tc>
          <w:tcPr>
            <w:tcW w:w="1150" w:type="dxa"/>
            <w:noWrap w:val="0"/>
            <w:vAlign w:val="center"/>
          </w:tcPr>
          <w:p w14:paraId="4B828B60">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一般</w:t>
            </w:r>
          </w:p>
        </w:tc>
        <w:tc>
          <w:tcPr>
            <w:tcW w:w="1716" w:type="dxa"/>
            <w:noWrap w:val="0"/>
            <w:vAlign w:val="center"/>
          </w:tcPr>
          <w:p w14:paraId="4F739AE7">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建设单位、施工单位</w:t>
            </w:r>
          </w:p>
        </w:tc>
        <w:tc>
          <w:tcPr>
            <w:tcW w:w="3225" w:type="dxa"/>
            <w:noWrap w:val="0"/>
            <w:vAlign w:val="center"/>
          </w:tcPr>
          <w:p w14:paraId="6A967C3F">
            <w:pPr>
              <w:keepNext w:val="0"/>
              <w:keepLines w:val="0"/>
              <w:pageBreakBefore w:val="0"/>
              <w:widowControl w:val="0"/>
              <w:kinsoku/>
              <w:wordWrap/>
              <w:overflowPunct/>
              <w:topLinePunct w:val="0"/>
              <w:autoSpaceDE/>
              <w:autoSpaceDN/>
              <w:bidi w:val="0"/>
              <w:adjustRightInd/>
              <w:snapToGrid/>
              <w:spacing w:beforeLines="0" w:afterLines="0" w:line="0" w:lineRule="atLeast"/>
              <w:jc w:val="left"/>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bidi="ar-SA"/>
              </w:rPr>
              <w:t>建设单位应组织施工单位严格按照水土保持方案及后续设计要求对已回填的管线作业带和施工完毕的穿越工程区进行植被恢复。</w:t>
            </w:r>
          </w:p>
        </w:tc>
        <w:tc>
          <w:tcPr>
            <w:tcW w:w="1344" w:type="dxa"/>
            <w:noWrap w:val="0"/>
            <w:vAlign w:val="center"/>
          </w:tcPr>
          <w:p w14:paraId="790E89BE">
            <w:pPr>
              <w:keepNext w:val="0"/>
              <w:keepLines w:val="0"/>
              <w:pageBreakBefore w:val="0"/>
              <w:widowControl w:val="0"/>
              <w:kinsoku/>
              <w:wordWrap/>
              <w:overflowPunct/>
              <w:topLinePunct w:val="0"/>
              <w:autoSpaceDE/>
              <w:autoSpaceDN/>
              <w:bidi w:val="0"/>
              <w:adjustRightInd/>
              <w:snapToGrid/>
              <w:spacing w:beforeLines="0" w:afterLines="0" w:line="0" w:lineRule="atLeast"/>
              <w:jc w:val="center"/>
              <w:rPr>
                <w:rFonts w:hint="eastAsia" w:ascii="仿宋_GB2312" w:hAnsi="仿宋_GB2312" w:eastAsia="仿宋_GB2312" w:cs="仿宋_GB2312"/>
                <w:b w:val="0"/>
                <w:bCs w:val="0"/>
                <w:color w:val="000000"/>
                <w:kern w:val="2"/>
                <w:sz w:val="28"/>
                <w:szCs w:val="28"/>
                <w:highlight w:val="none"/>
                <w:lang w:val="en-US" w:eastAsia="zh-CN" w:bidi="ar-SA"/>
              </w:rPr>
            </w:pPr>
            <w:r>
              <w:rPr>
                <w:rFonts w:hint="eastAsia" w:ascii="仿宋_GB2312" w:hAnsi="仿宋_GB2312" w:eastAsia="仿宋_GB2312" w:cs="仿宋_GB2312"/>
                <w:b w:val="0"/>
                <w:bCs w:val="0"/>
                <w:color w:val="000000"/>
                <w:kern w:val="2"/>
                <w:sz w:val="28"/>
                <w:szCs w:val="28"/>
                <w:highlight w:val="none"/>
                <w:lang w:val="en-US" w:eastAsia="zh-CN"/>
              </w:rPr>
              <w:t>责令整改</w:t>
            </w:r>
          </w:p>
        </w:tc>
      </w:tr>
    </w:tbl>
    <w:p w14:paraId="1839FA7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52E5E"/>
    <w:rsid w:val="0F452E5E"/>
    <w:rsid w:val="74253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32"/>
      <w:szCs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odyText1I2"/>
    <w:basedOn w:val="3"/>
    <w:next w:val="4"/>
    <w:qFormat/>
    <w:uiPriority w:val="99"/>
    <w:pPr>
      <w:ind w:firstLine="210"/>
    </w:pPr>
  </w:style>
  <w:style w:type="paragraph" w:customStyle="1" w:styleId="3">
    <w:name w:val="BodyTextIndent"/>
    <w:basedOn w:val="1"/>
    <w:qFormat/>
    <w:uiPriority w:val="99"/>
    <w:pPr>
      <w:spacing w:after="120"/>
      <w:ind w:left="420" w:leftChars="200"/>
    </w:pPr>
  </w:style>
  <w:style w:type="paragraph" w:customStyle="1" w:styleId="4">
    <w:name w:val="BodyText"/>
    <w:basedOn w:val="1"/>
    <w:qFormat/>
    <w:uiPriority w:val="99"/>
    <w:pPr>
      <w:ind w:left="118"/>
    </w:pPr>
    <w:rPr>
      <w:rFonts w:ascii="宋体" w:eastAsia="仿宋_GB2312" w:cs="宋体"/>
      <w:sz w:val="30"/>
      <w:szCs w:val="30"/>
    </w:rPr>
  </w:style>
  <w:style w:type="paragraph" w:styleId="5">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2026-09-07T01:06:00Z</dcterms:created>
  <dc:creator>齐征</dc:creator>
  <cp:lastModifiedBy>齐征</cp:lastModifiedBy>
  <dcterms:modified xsi:type="dcterms:W3CDTF">2026-09-07T01:08:34Z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45547BA3FAB14A2284EFE93C1F0270FB_13</vt:lpwstr>
  </property>
  <property fmtid="{D5CDD505-2E9C-101B-9397-08002B2CF9AE}" pid="4" name="KSOTemplateDocerSaveRecord">
    <vt:lpwstr>eyJoZGlkIjoiMGYxODk3MTQzOTlhZDliZTlhNmMzNDY2YjJiZjcwMWEifQ==</vt:lpwstr>
  </property>
</Properties>
</file>