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C08F1">
      <w:pPr>
        <w:snapToGrid/>
        <w:spacing w:before="0" w:beforeLines="0" w:after="0" w:afterLines="0" w:line="240" w:lineRule="auto"/>
        <w:jc w:val="center"/>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问题及整改要求清单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882"/>
        <w:gridCol w:w="2236"/>
        <w:gridCol w:w="941"/>
        <w:gridCol w:w="1470"/>
        <w:gridCol w:w="4397"/>
        <w:gridCol w:w="1658"/>
      </w:tblGrid>
      <w:tr w14:paraId="50C89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blHeader/>
          <w:jc w:val="center"/>
        </w:trPr>
        <w:tc>
          <w:tcPr>
            <w:tcW w:w="801" w:type="dxa"/>
            <w:noWrap w:val="0"/>
            <w:vAlign w:val="center"/>
          </w:tcPr>
          <w:p w14:paraId="5815D68D">
            <w:pPr>
              <w:keepNext w:val="0"/>
              <w:keepLines w:val="0"/>
              <w:pageBreakBefore w:val="0"/>
              <w:kinsoku/>
              <w:wordWrap/>
              <w:overflowPunct/>
              <w:topLinePunct w:val="0"/>
              <w:autoSpaceDE/>
              <w:autoSpaceDN/>
              <w:bidi w:val="0"/>
              <w:snapToGrid/>
              <w:spacing w:beforeLines="0" w:afterLines="0" w:line="0" w:lineRule="atLeast"/>
              <w:jc w:val="center"/>
              <w:rPr>
                <w:rFonts w:hint="default" w:ascii="黑体" w:hAnsi="黑体" w:eastAsia="黑体" w:cs="黑体"/>
                <w:b w:val="0"/>
                <w:bCs w:val="0"/>
                <w:color w:val="000000"/>
                <w:kern w:val="2"/>
                <w:sz w:val="28"/>
                <w:szCs w:val="28"/>
                <w:highlight w:val="none"/>
                <w:lang w:val="en-US" w:eastAsia="zh-CN"/>
              </w:rPr>
            </w:pPr>
            <w:r>
              <w:rPr>
                <w:rFonts w:hint="eastAsia" w:ascii="黑体" w:hAnsi="黑体" w:eastAsia="黑体" w:cs="黑体"/>
                <w:b w:val="0"/>
                <w:bCs w:val="0"/>
                <w:color w:val="000000"/>
                <w:kern w:val="2"/>
                <w:sz w:val="28"/>
                <w:szCs w:val="28"/>
                <w:highlight w:val="none"/>
                <w:lang w:val="en-US" w:eastAsia="zh-CN"/>
              </w:rPr>
              <w:t>序号</w:t>
            </w:r>
          </w:p>
        </w:tc>
        <w:tc>
          <w:tcPr>
            <w:tcW w:w="2882" w:type="dxa"/>
            <w:noWrap w:val="0"/>
            <w:vAlign w:val="center"/>
          </w:tcPr>
          <w:p w14:paraId="7129DC3B">
            <w:pPr>
              <w:keepNext w:val="0"/>
              <w:keepLines w:val="0"/>
              <w:pageBreakBefore w:val="0"/>
              <w:kinsoku/>
              <w:wordWrap/>
              <w:overflowPunct/>
              <w:topLinePunct w:val="0"/>
              <w:autoSpaceDE/>
              <w:autoSpaceDN/>
              <w:bidi w:val="0"/>
              <w:snapToGrid/>
              <w:spacing w:beforeLines="0" w:afterLines="0" w:line="0" w:lineRule="atLeast"/>
              <w:jc w:val="center"/>
              <w:rPr>
                <w:rFonts w:hint="eastAsia" w:ascii="黑体" w:hAnsi="黑体" w:eastAsia="黑体" w:cs="黑体"/>
                <w:b w:val="0"/>
                <w:bCs w:val="0"/>
                <w:color w:val="000000"/>
                <w:kern w:val="2"/>
                <w:sz w:val="28"/>
                <w:szCs w:val="28"/>
                <w:highlight w:val="none"/>
                <w:lang w:eastAsia="zh-CN"/>
              </w:rPr>
            </w:pPr>
            <w:r>
              <w:rPr>
                <w:rFonts w:hint="eastAsia" w:ascii="黑体" w:hAnsi="黑体" w:eastAsia="黑体" w:cs="黑体"/>
                <w:b w:val="0"/>
                <w:bCs w:val="0"/>
                <w:color w:val="000000"/>
                <w:kern w:val="2"/>
                <w:sz w:val="28"/>
                <w:szCs w:val="28"/>
                <w:highlight w:val="none"/>
                <w:lang w:eastAsia="zh-CN"/>
              </w:rPr>
              <w:t>存在问题</w:t>
            </w:r>
          </w:p>
        </w:tc>
        <w:tc>
          <w:tcPr>
            <w:tcW w:w="2236" w:type="dxa"/>
            <w:noWrap w:val="0"/>
            <w:vAlign w:val="center"/>
          </w:tcPr>
          <w:p w14:paraId="502F3752">
            <w:pPr>
              <w:keepNext w:val="0"/>
              <w:keepLines w:val="0"/>
              <w:pageBreakBefore w:val="0"/>
              <w:widowControl w:val="0"/>
              <w:kinsoku/>
              <w:wordWrap/>
              <w:overflowPunct/>
              <w:topLinePunct w:val="0"/>
              <w:autoSpaceDE/>
              <w:autoSpaceDN/>
              <w:bidi w:val="0"/>
              <w:adjustRightInd/>
              <w:snapToGrid/>
              <w:spacing w:beforeLines="0" w:afterLines="0" w:line="0" w:lineRule="atLeast"/>
              <w:jc w:val="center"/>
              <w:rPr>
                <w:rFonts w:hint="eastAsia" w:ascii="黑体" w:hAnsi="黑体" w:eastAsia="黑体" w:cs="黑体"/>
                <w:b w:val="0"/>
                <w:bCs w:val="0"/>
                <w:color w:val="000000"/>
                <w:kern w:val="2"/>
                <w:sz w:val="28"/>
                <w:szCs w:val="28"/>
                <w:highlight w:val="none"/>
                <w:lang w:eastAsia="zh-CN"/>
              </w:rPr>
            </w:pPr>
            <w:r>
              <w:rPr>
                <w:rFonts w:hint="eastAsia" w:ascii="黑体" w:hAnsi="黑体" w:eastAsia="黑体" w:cs="黑体"/>
                <w:b w:val="0"/>
                <w:bCs w:val="0"/>
                <w:color w:val="000000"/>
                <w:kern w:val="2"/>
                <w:sz w:val="28"/>
                <w:szCs w:val="28"/>
                <w:highlight w:val="none"/>
                <w:lang w:eastAsia="zh-CN"/>
              </w:rPr>
              <w:t>问题具体位置</w:t>
            </w:r>
          </w:p>
          <w:p w14:paraId="1D8B4175">
            <w:pPr>
              <w:keepNext w:val="0"/>
              <w:keepLines w:val="0"/>
              <w:pageBreakBefore w:val="0"/>
              <w:widowControl w:val="0"/>
              <w:kinsoku/>
              <w:wordWrap/>
              <w:overflowPunct/>
              <w:topLinePunct w:val="0"/>
              <w:autoSpaceDE/>
              <w:autoSpaceDN/>
              <w:bidi w:val="0"/>
              <w:adjustRightInd/>
              <w:snapToGrid/>
              <w:spacing w:beforeLines="0" w:afterLines="0" w:line="0" w:lineRule="atLeast"/>
              <w:jc w:val="center"/>
              <w:rPr>
                <w:rFonts w:hint="eastAsia" w:ascii="黑体" w:hAnsi="黑体" w:eastAsia="黑体" w:cs="黑体"/>
                <w:b w:val="0"/>
                <w:bCs w:val="0"/>
                <w:color w:val="000000"/>
                <w:kern w:val="2"/>
                <w:sz w:val="28"/>
                <w:szCs w:val="28"/>
                <w:highlight w:val="none"/>
                <w:lang w:eastAsia="zh-CN"/>
              </w:rPr>
            </w:pPr>
            <w:r>
              <w:rPr>
                <w:rFonts w:hint="eastAsia" w:ascii="黑体" w:hAnsi="黑体" w:eastAsia="黑体" w:cs="黑体"/>
                <w:b w:val="0"/>
                <w:bCs w:val="0"/>
                <w:color w:val="000000"/>
                <w:kern w:val="2"/>
                <w:sz w:val="28"/>
                <w:szCs w:val="28"/>
                <w:highlight w:val="none"/>
                <w:lang w:eastAsia="zh-CN"/>
              </w:rPr>
              <w:t>（情形）</w:t>
            </w:r>
          </w:p>
        </w:tc>
        <w:tc>
          <w:tcPr>
            <w:tcW w:w="941" w:type="dxa"/>
            <w:noWrap w:val="0"/>
            <w:vAlign w:val="center"/>
          </w:tcPr>
          <w:p w14:paraId="532912F4">
            <w:pPr>
              <w:keepNext w:val="0"/>
              <w:keepLines w:val="0"/>
              <w:pageBreakBefore w:val="0"/>
              <w:widowControl w:val="0"/>
              <w:kinsoku/>
              <w:wordWrap/>
              <w:overflowPunct/>
              <w:topLinePunct w:val="0"/>
              <w:autoSpaceDE/>
              <w:autoSpaceDN/>
              <w:bidi w:val="0"/>
              <w:adjustRightInd/>
              <w:snapToGrid/>
              <w:spacing w:beforeLines="0" w:afterLines="0" w:line="0" w:lineRule="atLeast"/>
              <w:jc w:val="center"/>
              <w:rPr>
                <w:rFonts w:hint="eastAsia" w:ascii="黑体" w:hAnsi="黑体" w:eastAsia="黑体" w:cs="黑体"/>
                <w:b w:val="0"/>
                <w:bCs w:val="0"/>
                <w:color w:val="000000"/>
                <w:kern w:val="2"/>
                <w:sz w:val="28"/>
                <w:szCs w:val="28"/>
                <w:highlight w:val="none"/>
                <w:lang w:eastAsia="zh-CN"/>
              </w:rPr>
            </w:pPr>
            <w:r>
              <w:rPr>
                <w:rFonts w:hint="eastAsia" w:ascii="黑体" w:hAnsi="黑体" w:eastAsia="黑体" w:cs="黑体"/>
                <w:b w:val="0"/>
                <w:bCs w:val="0"/>
                <w:color w:val="000000"/>
                <w:kern w:val="2"/>
                <w:sz w:val="28"/>
                <w:szCs w:val="28"/>
                <w:highlight w:val="none"/>
                <w:lang w:eastAsia="zh-CN"/>
              </w:rPr>
              <w:t>问题</w:t>
            </w:r>
          </w:p>
          <w:p w14:paraId="7B35FC9B">
            <w:pPr>
              <w:keepNext w:val="0"/>
              <w:keepLines w:val="0"/>
              <w:pageBreakBefore w:val="0"/>
              <w:widowControl w:val="0"/>
              <w:kinsoku/>
              <w:wordWrap/>
              <w:overflowPunct/>
              <w:topLinePunct w:val="0"/>
              <w:autoSpaceDE/>
              <w:autoSpaceDN/>
              <w:bidi w:val="0"/>
              <w:adjustRightInd/>
              <w:snapToGrid/>
              <w:spacing w:beforeLines="0" w:afterLines="0" w:line="0" w:lineRule="atLeast"/>
              <w:jc w:val="center"/>
              <w:rPr>
                <w:rFonts w:hint="eastAsia" w:ascii="黑体" w:hAnsi="黑体" w:eastAsia="黑体" w:cs="黑体"/>
                <w:b w:val="0"/>
                <w:bCs w:val="0"/>
                <w:color w:val="000000"/>
                <w:kern w:val="2"/>
                <w:sz w:val="28"/>
                <w:szCs w:val="28"/>
                <w:highlight w:val="none"/>
                <w:lang w:eastAsia="zh-CN"/>
              </w:rPr>
            </w:pPr>
            <w:r>
              <w:rPr>
                <w:rFonts w:hint="eastAsia" w:ascii="黑体" w:hAnsi="黑体" w:eastAsia="黑体" w:cs="黑体"/>
                <w:b w:val="0"/>
                <w:bCs w:val="0"/>
                <w:color w:val="000000"/>
                <w:kern w:val="2"/>
                <w:sz w:val="28"/>
                <w:szCs w:val="28"/>
                <w:highlight w:val="none"/>
                <w:lang w:eastAsia="zh-CN"/>
              </w:rPr>
              <w:t>性质</w:t>
            </w:r>
          </w:p>
        </w:tc>
        <w:tc>
          <w:tcPr>
            <w:tcW w:w="1470" w:type="dxa"/>
            <w:noWrap w:val="0"/>
            <w:vAlign w:val="center"/>
          </w:tcPr>
          <w:p w14:paraId="33803867">
            <w:pPr>
              <w:keepNext w:val="0"/>
              <w:keepLines w:val="0"/>
              <w:pageBreakBefore w:val="0"/>
              <w:widowControl w:val="0"/>
              <w:kinsoku/>
              <w:wordWrap/>
              <w:overflowPunct/>
              <w:topLinePunct w:val="0"/>
              <w:autoSpaceDE/>
              <w:autoSpaceDN/>
              <w:bidi w:val="0"/>
              <w:adjustRightInd/>
              <w:snapToGrid/>
              <w:spacing w:beforeLines="0" w:afterLines="0" w:line="0" w:lineRule="atLeast"/>
              <w:jc w:val="center"/>
              <w:rPr>
                <w:rFonts w:hint="eastAsia" w:ascii="黑体" w:hAnsi="黑体" w:eastAsia="黑体" w:cs="黑体"/>
                <w:b w:val="0"/>
                <w:bCs w:val="0"/>
                <w:color w:val="000000"/>
                <w:kern w:val="2"/>
                <w:sz w:val="28"/>
                <w:szCs w:val="28"/>
                <w:highlight w:val="none"/>
                <w:lang w:eastAsia="zh-CN"/>
              </w:rPr>
            </w:pPr>
            <w:r>
              <w:rPr>
                <w:rFonts w:hint="eastAsia" w:ascii="黑体" w:hAnsi="黑体" w:eastAsia="黑体" w:cs="黑体"/>
                <w:b w:val="0"/>
                <w:bCs w:val="0"/>
                <w:color w:val="000000"/>
                <w:kern w:val="2"/>
                <w:sz w:val="28"/>
                <w:szCs w:val="28"/>
                <w:highlight w:val="none"/>
                <w:lang w:eastAsia="zh-CN"/>
              </w:rPr>
              <w:t>责任对象</w:t>
            </w:r>
          </w:p>
        </w:tc>
        <w:tc>
          <w:tcPr>
            <w:tcW w:w="4397" w:type="dxa"/>
            <w:noWrap w:val="0"/>
            <w:vAlign w:val="center"/>
          </w:tcPr>
          <w:p w14:paraId="5D62D863">
            <w:pPr>
              <w:keepNext w:val="0"/>
              <w:keepLines w:val="0"/>
              <w:pageBreakBefore w:val="0"/>
              <w:widowControl w:val="0"/>
              <w:kinsoku/>
              <w:wordWrap/>
              <w:overflowPunct/>
              <w:topLinePunct w:val="0"/>
              <w:autoSpaceDE/>
              <w:autoSpaceDN/>
              <w:bidi w:val="0"/>
              <w:adjustRightInd/>
              <w:snapToGrid/>
              <w:spacing w:beforeLines="0" w:afterLines="0" w:line="0" w:lineRule="atLeast"/>
              <w:jc w:val="center"/>
              <w:rPr>
                <w:rFonts w:hint="eastAsia" w:ascii="黑体" w:hAnsi="黑体" w:eastAsia="黑体" w:cs="黑体"/>
                <w:b w:val="0"/>
                <w:bCs w:val="0"/>
                <w:color w:val="000000"/>
                <w:kern w:val="2"/>
                <w:sz w:val="28"/>
                <w:szCs w:val="28"/>
                <w:highlight w:val="none"/>
                <w:lang w:eastAsia="zh-CN"/>
              </w:rPr>
            </w:pPr>
            <w:r>
              <w:rPr>
                <w:rFonts w:hint="eastAsia" w:ascii="黑体" w:hAnsi="黑体" w:eastAsia="黑体" w:cs="黑体"/>
                <w:b w:val="0"/>
                <w:bCs w:val="0"/>
                <w:color w:val="000000"/>
                <w:kern w:val="2"/>
                <w:sz w:val="28"/>
                <w:szCs w:val="28"/>
                <w:highlight w:val="none"/>
                <w:lang w:eastAsia="zh-CN"/>
              </w:rPr>
              <w:t>整改要求</w:t>
            </w:r>
          </w:p>
        </w:tc>
        <w:tc>
          <w:tcPr>
            <w:tcW w:w="1658" w:type="dxa"/>
            <w:noWrap w:val="0"/>
            <w:vAlign w:val="center"/>
          </w:tcPr>
          <w:p w14:paraId="7566B6D3">
            <w:pPr>
              <w:keepNext w:val="0"/>
              <w:keepLines w:val="0"/>
              <w:pageBreakBefore w:val="0"/>
              <w:widowControl w:val="0"/>
              <w:kinsoku/>
              <w:wordWrap/>
              <w:overflowPunct/>
              <w:topLinePunct w:val="0"/>
              <w:autoSpaceDE/>
              <w:autoSpaceDN/>
              <w:bidi w:val="0"/>
              <w:adjustRightInd/>
              <w:snapToGrid/>
              <w:spacing w:beforeLines="0" w:afterLines="0" w:line="0" w:lineRule="atLeast"/>
              <w:jc w:val="center"/>
              <w:rPr>
                <w:rFonts w:hint="eastAsia" w:ascii="黑体" w:hAnsi="黑体" w:eastAsia="黑体" w:cs="黑体"/>
                <w:b w:val="0"/>
                <w:bCs w:val="0"/>
                <w:color w:val="000000"/>
                <w:kern w:val="2"/>
                <w:sz w:val="28"/>
                <w:szCs w:val="28"/>
                <w:highlight w:val="none"/>
                <w:lang w:eastAsia="zh-CN"/>
              </w:rPr>
            </w:pPr>
            <w:r>
              <w:rPr>
                <w:rFonts w:hint="eastAsia" w:ascii="黑体" w:hAnsi="黑体" w:eastAsia="黑体" w:cs="黑体"/>
                <w:b w:val="0"/>
                <w:bCs w:val="0"/>
                <w:color w:val="000000"/>
                <w:kern w:val="2"/>
                <w:sz w:val="28"/>
                <w:szCs w:val="28"/>
                <w:highlight w:val="none"/>
                <w:lang w:eastAsia="zh-CN"/>
              </w:rPr>
              <w:t>拟采取的责任追究方式</w:t>
            </w:r>
          </w:p>
        </w:tc>
      </w:tr>
      <w:tr w14:paraId="6F955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801" w:type="dxa"/>
            <w:noWrap w:val="0"/>
            <w:vAlign w:val="center"/>
          </w:tcPr>
          <w:p w14:paraId="2E8763BF">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0" w:leftChars="0" w:firstLine="0" w:firstLineChars="0"/>
              <w:jc w:val="center"/>
              <w:rPr>
                <w:rFonts w:hint="default" w:ascii="仿宋_GB2312" w:hAnsi="仿宋_GB2312" w:eastAsia="仿宋_GB2312" w:cs="仿宋_GB2312"/>
                <w:b w:val="0"/>
                <w:bCs w:val="0"/>
                <w:color w:val="000000"/>
                <w:kern w:val="2"/>
                <w:sz w:val="28"/>
                <w:szCs w:val="28"/>
                <w:highlight w:val="none"/>
                <w:lang w:val="en-US" w:eastAsia="zh-CN"/>
              </w:rPr>
            </w:pPr>
            <w:r>
              <w:rPr>
                <w:rFonts w:hint="eastAsia" w:ascii="仿宋_GB2312" w:hAnsi="仿宋_GB2312" w:eastAsia="仿宋_GB2312" w:cs="仿宋_GB2312"/>
                <w:b w:val="0"/>
                <w:bCs w:val="0"/>
                <w:color w:val="000000"/>
                <w:kern w:val="2"/>
                <w:sz w:val="28"/>
                <w:szCs w:val="28"/>
                <w:highlight w:val="none"/>
                <w:lang w:val="en-US" w:eastAsia="zh-CN"/>
              </w:rPr>
              <w:t>1</w:t>
            </w:r>
          </w:p>
        </w:tc>
        <w:tc>
          <w:tcPr>
            <w:tcW w:w="2882" w:type="dxa"/>
            <w:noWrap w:val="0"/>
            <w:vAlign w:val="center"/>
          </w:tcPr>
          <w:p w14:paraId="09821A20">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0" w:leftChars="0" w:firstLine="0" w:firstLineChars="0"/>
              <w:jc w:val="both"/>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项目实际扰动地表范围和土石方总量较水土保持方案确定的水土流失防治责任范围和土石方总量均增加超过30%，未履行水土保持方案变更报批手续。</w:t>
            </w:r>
          </w:p>
        </w:tc>
        <w:tc>
          <w:tcPr>
            <w:tcW w:w="2236" w:type="dxa"/>
            <w:noWrap w:val="0"/>
            <w:vAlign w:val="center"/>
          </w:tcPr>
          <w:p w14:paraId="449BE44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0" w:leftChars="0" w:firstLine="0" w:firstLineChars="0"/>
              <w:jc w:val="both"/>
              <w:textAlignment w:val="auto"/>
              <w:rPr>
                <w:rFonts w:hint="default" w:ascii="仿宋_GB2312" w:hAnsi="仿宋_GB2312" w:eastAsia="仿宋_GB2312" w:cs="仿宋_GB2312"/>
                <w:b w:val="0"/>
                <w:bCs w:val="0"/>
                <w:color w:val="000000"/>
                <w:kern w:val="2"/>
                <w:sz w:val="28"/>
                <w:szCs w:val="28"/>
                <w:highlight w:val="none"/>
                <w:lang w:val="en-US" w:eastAsia="zh-CN" w:bidi="ar-SA"/>
              </w:rPr>
            </w:pPr>
          </w:p>
        </w:tc>
        <w:tc>
          <w:tcPr>
            <w:tcW w:w="941" w:type="dxa"/>
            <w:noWrap w:val="0"/>
            <w:vAlign w:val="center"/>
          </w:tcPr>
          <w:p w14:paraId="7B2D3F0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0" w:leftChars="0" w:firstLine="0" w:firstLineChars="0"/>
              <w:jc w:val="center"/>
              <w:textAlignment w:val="auto"/>
              <w:rPr>
                <w:rFonts w:hint="default"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严重</w:t>
            </w:r>
          </w:p>
        </w:tc>
        <w:tc>
          <w:tcPr>
            <w:tcW w:w="1470" w:type="dxa"/>
            <w:noWrap w:val="0"/>
            <w:vAlign w:val="center"/>
          </w:tcPr>
          <w:p w14:paraId="13509CC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0" w:leftChars="0" w:firstLine="0" w:firstLineChars="0"/>
              <w:jc w:val="center"/>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建设单位</w:t>
            </w:r>
          </w:p>
        </w:tc>
        <w:tc>
          <w:tcPr>
            <w:tcW w:w="4397" w:type="dxa"/>
            <w:noWrap w:val="0"/>
            <w:vAlign w:val="center"/>
          </w:tcPr>
          <w:p w14:paraId="28DC451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0" w:leftChars="0" w:firstLine="0" w:firstLineChars="0"/>
              <w:jc w:val="both"/>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建设单位应立即停止水土保持违法行为，抓紧履行水土保持方案变更报批手续，于2025年1月31日前将修改后的水土保持方案报水利部审批。</w:t>
            </w:r>
          </w:p>
        </w:tc>
        <w:tc>
          <w:tcPr>
            <w:tcW w:w="1658" w:type="dxa"/>
            <w:noWrap w:val="0"/>
            <w:vAlign w:val="center"/>
          </w:tcPr>
          <w:p w14:paraId="5675B96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0" w:leftChars="0" w:firstLine="0" w:firstLineChars="0"/>
              <w:jc w:val="center"/>
              <w:textAlignment w:val="auto"/>
              <w:rPr>
                <w:rFonts w:hint="eastAsia" w:ascii="仿宋_GB2312" w:hAnsi="仿宋_GB2312" w:eastAsia="仿宋_GB2312" w:cs="仿宋_GB2312"/>
                <w:b w:val="0"/>
                <w:bCs w:val="0"/>
                <w:color w:val="000000"/>
                <w:kern w:val="2"/>
                <w:sz w:val="28"/>
                <w:szCs w:val="28"/>
                <w:highlight w:val="none"/>
                <w:lang w:val="en-US" w:eastAsia="zh-CN"/>
              </w:rPr>
            </w:pPr>
            <w:r>
              <w:rPr>
                <w:rFonts w:hint="eastAsia" w:ascii="仿宋_GB2312" w:hAnsi="仿宋_GB2312" w:eastAsia="仿宋_GB2312" w:cs="仿宋_GB2312"/>
                <w:b w:val="0"/>
                <w:bCs w:val="0"/>
                <w:color w:val="000000"/>
                <w:kern w:val="2"/>
                <w:sz w:val="28"/>
                <w:szCs w:val="28"/>
                <w:highlight w:val="none"/>
                <w:lang w:val="en-US" w:eastAsia="zh-CN"/>
              </w:rPr>
              <w:t>约谈</w:t>
            </w:r>
          </w:p>
        </w:tc>
      </w:tr>
      <w:tr w14:paraId="6E192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801" w:type="dxa"/>
            <w:noWrap w:val="0"/>
            <w:vAlign w:val="center"/>
          </w:tcPr>
          <w:p w14:paraId="4A35090F">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0" w:leftChars="0" w:firstLine="0" w:firstLineChars="0"/>
              <w:jc w:val="center"/>
              <w:rPr>
                <w:rFonts w:hint="default" w:ascii="仿宋_GB2312" w:hAnsi="仿宋_GB2312" w:eastAsia="仿宋_GB2312" w:cs="仿宋_GB2312"/>
                <w:b w:val="0"/>
                <w:bCs w:val="0"/>
                <w:color w:val="000000"/>
                <w:kern w:val="2"/>
                <w:sz w:val="28"/>
                <w:szCs w:val="28"/>
                <w:highlight w:val="none"/>
                <w:lang w:val="en-US" w:eastAsia="zh-CN"/>
              </w:rPr>
            </w:pPr>
            <w:r>
              <w:rPr>
                <w:rFonts w:hint="eastAsia" w:ascii="仿宋_GB2312" w:hAnsi="仿宋_GB2312" w:eastAsia="仿宋_GB2312" w:cs="仿宋_GB2312"/>
                <w:b w:val="0"/>
                <w:bCs w:val="0"/>
                <w:color w:val="000000"/>
                <w:kern w:val="2"/>
                <w:sz w:val="28"/>
                <w:szCs w:val="28"/>
                <w:highlight w:val="none"/>
                <w:lang w:val="en-US" w:eastAsia="zh-CN"/>
              </w:rPr>
              <w:t>2</w:t>
            </w:r>
          </w:p>
        </w:tc>
        <w:tc>
          <w:tcPr>
            <w:tcW w:w="2882" w:type="dxa"/>
            <w:noWrap w:val="0"/>
            <w:vAlign w:val="center"/>
          </w:tcPr>
          <w:p w14:paraId="6A9CA9A8">
            <w:pPr>
              <w:pStyle w:val="4"/>
              <w:keepNext w:val="0"/>
              <w:keepLines w:val="0"/>
              <w:pageBreakBefore w:val="0"/>
              <w:widowControl w:val="0"/>
              <w:kinsoku/>
              <w:wordWrap/>
              <w:overflowPunct/>
              <w:topLinePunct w:val="0"/>
              <w:autoSpaceDE/>
              <w:autoSpaceDN/>
              <w:bidi w:val="0"/>
              <w:adjustRightInd/>
              <w:snapToGrid/>
              <w:spacing w:beforeLines="0" w:afterLines="0" w:line="0" w:lineRule="atLeast"/>
              <w:ind w:left="0"/>
              <w:jc w:val="both"/>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项目未按照主体工程实施进度及水土保持方案设计要求落实1号排土场植被恢复措施及工业场地防治区的临时措施，水土保持“三同时”制度执行不到位。</w:t>
            </w:r>
          </w:p>
        </w:tc>
        <w:tc>
          <w:tcPr>
            <w:tcW w:w="2236" w:type="dxa"/>
            <w:noWrap w:val="0"/>
            <w:vAlign w:val="center"/>
          </w:tcPr>
          <w:p w14:paraId="065D9157">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0" w:leftChars="0" w:firstLine="0" w:firstLineChars="0"/>
              <w:jc w:val="center"/>
              <w:textAlignment w:val="auto"/>
              <w:rPr>
                <w:rFonts w:hint="default"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1号排土场、工业场地防治区</w:t>
            </w:r>
          </w:p>
        </w:tc>
        <w:tc>
          <w:tcPr>
            <w:tcW w:w="941" w:type="dxa"/>
            <w:noWrap w:val="0"/>
            <w:vAlign w:val="center"/>
          </w:tcPr>
          <w:p w14:paraId="1DF1BAC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0" w:leftChars="0" w:firstLine="0" w:firstLineChars="0"/>
              <w:jc w:val="center"/>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一般</w:t>
            </w:r>
          </w:p>
        </w:tc>
        <w:tc>
          <w:tcPr>
            <w:tcW w:w="1470" w:type="dxa"/>
            <w:noWrap w:val="0"/>
            <w:vAlign w:val="center"/>
          </w:tcPr>
          <w:p w14:paraId="440C6FDF">
            <w:pPr>
              <w:pStyle w:val="2"/>
              <w:spacing w:beforeLines="0" w:after="0" w:afterLines="0" w:line="0" w:lineRule="atLeast"/>
              <w:ind w:left="0" w:leftChars="0" w:firstLine="0" w:firstLineChars="0"/>
              <w:jc w:val="center"/>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建设单位、施工单位、水土保持监理单位</w:t>
            </w:r>
          </w:p>
        </w:tc>
        <w:tc>
          <w:tcPr>
            <w:tcW w:w="4397" w:type="dxa"/>
            <w:noWrap w:val="0"/>
            <w:vAlign w:val="center"/>
          </w:tcPr>
          <w:p w14:paraId="03DEE26F">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0" w:leftChars="0" w:firstLine="0" w:firstLineChars="0"/>
              <w:jc w:val="both"/>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建设单位应组织施工单位严格按照水土保持方案及后续设计要求落实1号排土场的植被恢复措施和工业场地防治区的临时措施。</w:t>
            </w:r>
          </w:p>
        </w:tc>
        <w:tc>
          <w:tcPr>
            <w:tcW w:w="1658" w:type="dxa"/>
            <w:noWrap w:val="0"/>
            <w:vAlign w:val="center"/>
          </w:tcPr>
          <w:p w14:paraId="36171370">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0" w:leftChars="0" w:firstLine="0" w:firstLineChars="0"/>
              <w:jc w:val="center"/>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责令整改</w:t>
            </w:r>
          </w:p>
        </w:tc>
      </w:tr>
      <w:tr w14:paraId="6CE30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801" w:type="dxa"/>
            <w:noWrap w:val="0"/>
            <w:vAlign w:val="center"/>
          </w:tcPr>
          <w:p w14:paraId="3609C99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0" w:leftChars="0" w:firstLine="0" w:firstLineChars="0"/>
              <w:jc w:val="center"/>
              <w:rPr>
                <w:rFonts w:hint="default" w:ascii="仿宋_GB2312" w:hAnsi="仿宋_GB2312" w:eastAsia="仿宋_GB2312" w:cs="仿宋_GB2312"/>
                <w:b w:val="0"/>
                <w:bCs w:val="0"/>
                <w:color w:val="000000"/>
                <w:kern w:val="2"/>
                <w:sz w:val="28"/>
                <w:szCs w:val="28"/>
                <w:highlight w:val="none"/>
                <w:lang w:val="en-US" w:eastAsia="zh-CN"/>
              </w:rPr>
            </w:pPr>
            <w:r>
              <w:rPr>
                <w:rFonts w:hint="eastAsia" w:ascii="仿宋_GB2312" w:hAnsi="仿宋_GB2312" w:eastAsia="仿宋_GB2312" w:cs="仿宋_GB2312"/>
                <w:b w:val="0"/>
                <w:bCs w:val="0"/>
                <w:color w:val="000000"/>
                <w:kern w:val="2"/>
                <w:sz w:val="28"/>
                <w:szCs w:val="28"/>
                <w:highlight w:val="none"/>
                <w:lang w:val="en-US" w:eastAsia="zh-CN"/>
              </w:rPr>
              <w:t>3</w:t>
            </w:r>
          </w:p>
        </w:tc>
        <w:tc>
          <w:tcPr>
            <w:tcW w:w="2882" w:type="dxa"/>
            <w:noWrap w:val="0"/>
            <w:vAlign w:val="center"/>
          </w:tcPr>
          <w:p w14:paraId="3C761C53">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0" w:leftChars="0" w:firstLine="0" w:firstLineChars="0"/>
              <w:jc w:val="both"/>
              <w:textAlignment w:val="auto"/>
              <w:rPr>
                <w:rFonts w:hint="eastAsia" w:ascii="仿宋_GB2312" w:hAnsi="仿宋_GB2312" w:eastAsia="仿宋_GB2312" w:cs="仿宋_GB2312"/>
                <w:b w:val="0"/>
                <w:bCs w:val="0"/>
                <w:color w:val="000000"/>
                <w:kern w:val="2"/>
                <w:sz w:val="28"/>
                <w:szCs w:val="28"/>
                <w:highlight w:val="none"/>
                <w:lang w:val="en-US" w:eastAsia="zh-CN"/>
              </w:rPr>
            </w:pPr>
            <w:r>
              <w:rPr>
                <w:rFonts w:hint="eastAsia" w:ascii="仿宋_GB2312" w:hAnsi="仿宋_GB2312" w:eastAsia="仿宋_GB2312" w:cs="仿宋_GB2312"/>
                <w:b w:val="0"/>
                <w:bCs w:val="0"/>
                <w:color w:val="000000"/>
                <w:kern w:val="2"/>
                <w:sz w:val="28"/>
                <w:szCs w:val="28"/>
                <w:highlight w:val="none"/>
                <w:lang w:val="en-US" w:eastAsia="zh-CN"/>
              </w:rPr>
              <w:t>项目水土保持监测工作不规范，2024年第二季度、第三季度水土保持监测季报关于项目水土流失防治责任范围的描述存在多处前后不一致情形。</w:t>
            </w:r>
          </w:p>
        </w:tc>
        <w:tc>
          <w:tcPr>
            <w:tcW w:w="2236" w:type="dxa"/>
            <w:noWrap w:val="0"/>
            <w:vAlign w:val="center"/>
          </w:tcPr>
          <w:p w14:paraId="47F41E93">
            <w:pPr>
              <w:pStyle w:val="4"/>
              <w:keepNext w:val="0"/>
              <w:keepLines w:val="0"/>
              <w:pageBreakBefore w:val="0"/>
              <w:widowControl w:val="0"/>
              <w:kinsoku/>
              <w:wordWrap/>
              <w:overflowPunct/>
              <w:topLinePunct w:val="0"/>
              <w:autoSpaceDE/>
              <w:autoSpaceDN/>
              <w:bidi w:val="0"/>
              <w:adjustRightInd/>
              <w:snapToGrid/>
              <w:spacing w:beforeLines="0" w:afterLines="0" w:line="0" w:lineRule="atLeast"/>
              <w:ind w:left="0"/>
              <w:jc w:val="center"/>
              <w:textAlignment w:val="auto"/>
              <w:rPr>
                <w:rFonts w:hint="default"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rPr>
              <w:t>2024年第二季度、第三季度水土保持监测季报</w:t>
            </w:r>
          </w:p>
        </w:tc>
        <w:tc>
          <w:tcPr>
            <w:tcW w:w="941" w:type="dxa"/>
            <w:noWrap w:val="0"/>
            <w:vAlign w:val="center"/>
          </w:tcPr>
          <w:p w14:paraId="6BEB07E5">
            <w:pPr>
              <w:keepNext w:val="0"/>
              <w:keepLines w:val="0"/>
              <w:pageBreakBefore w:val="0"/>
              <w:widowControl w:val="0"/>
              <w:kinsoku/>
              <w:wordWrap/>
              <w:overflowPunct/>
              <w:topLinePunct w:val="0"/>
              <w:autoSpaceDE/>
              <w:autoSpaceDN/>
              <w:bidi w:val="0"/>
              <w:adjustRightInd/>
              <w:snapToGrid/>
              <w:spacing w:beforeLines="0" w:afterLines="0" w:line="0" w:lineRule="atLeast"/>
              <w:jc w:val="center"/>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一般</w:t>
            </w:r>
          </w:p>
        </w:tc>
        <w:tc>
          <w:tcPr>
            <w:tcW w:w="1470" w:type="dxa"/>
            <w:noWrap w:val="0"/>
            <w:vAlign w:val="center"/>
          </w:tcPr>
          <w:p w14:paraId="5C09C50F">
            <w:pPr>
              <w:keepNext w:val="0"/>
              <w:keepLines w:val="0"/>
              <w:pageBreakBefore w:val="0"/>
              <w:widowControl w:val="0"/>
              <w:kinsoku/>
              <w:wordWrap/>
              <w:overflowPunct/>
              <w:topLinePunct w:val="0"/>
              <w:autoSpaceDE/>
              <w:autoSpaceDN/>
              <w:bidi w:val="0"/>
              <w:adjustRightInd/>
              <w:snapToGrid/>
              <w:spacing w:beforeLines="0" w:afterLines="0" w:line="0" w:lineRule="atLeast"/>
              <w:jc w:val="center"/>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水土保持监测单位</w:t>
            </w:r>
          </w:p>
        </w:tc>
        <w:tc>
          <w:tcPr>
            <w:tcW w:w="4397" w:type="dxa"/>
            <w:noWrap w:val="0"/>
            <w:vAlign w:val="center"/>
          </w:tcPr>
          <w:p w14:paraId="33CEBB4F">
            <w:pPr>
              <w:keepNext w:val="0"/>
              <w:keepLines w:val="0"/>
              <w:pageBreakBefore w:val="0"/>
              <w:widowControl w:val="0"/>
              <w:kinsoku/>
              <w:wordWrap/>
              <w:overflowPunct/>
              <w:topLinePunct w:val="0"/>
              <w:autoSpaceDE/>
              <w:autoSpaceDN/>
              <w:bidi w:val="0"/>
              <w:adjustRightInd/>
              <w:snapToGrid/>
              <w:spacing w:beforeLines="0" w:afterLines="0" w:line="0" w:lineRule="atLeast"/>
              <w:jc w:val="both"/>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项目水土保持监测单位应严格按照有关要求和技术规程规范开展监测工作，按月监测扰动土地情况，做好监测记录和数据整编，认真编制水土保持监测季报，确保监测成果客观真实反映项目水土流失状况和防治效果。</w:t>
            </w:r>
          </w:p>
        </w:tc>
        <w:tc>
          <w:tcPr>
            <w:tcW w:w="1658" w:type="dxa"/>
            <w:noWrap w:val="0"/>
            <w:vAlign w:val="center"/>
          </w:tcPr>
          <w:p w14:paraId="7679EC24">
            <w:pPr>
              <w:keepNext w:val="0"/>
              <w:keepLines w:val="0"/>
              <w:pageBreakBefore w:val="0"/>
              <w:widowControl w:val="0"/>
              <w:kinsoku/>
              <w:wordWrap/>
              <w:overflowPunct/>
              <w:topLinePunct w:val="0"/>
              <w:autoSpaceDE/>
              <w:autoSpaceDN/>
              <w:bidi w:val="0"/>
              <w:adjustRightInd/>
              <w:snapToGrid/>
              <w:spacing w:beforeLines="0" w:afterLines="0" w:line="0" w:lineRule="atLeast"/>
              <w:jc w:val="center"/>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责令整改</w:t>
            </w:r>
          </w:p>
        </w:tc>
      </w:tr>
    </w:tbl>
    <w:p w14:paraId="6DBC11E4">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175F8B"/>
    <w:rsid w:val="3B175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BodyText1I2"/>
    <w:basedOn w:val="3"/>
    <w:next w:val="4"/>
    <w:qFormat/>
    <w:uiPriority w:val="99"/>
    <w:pPr>
      <w:widowControl w:val="0"/>
      <w:spacing w:after="120"/>
      <w:ind w:left="420" w:leftChars="200" w:firstLine="210"/>
      <w:jc w:val="both"/>
    </w:pPr>
    <w:rPr>
      <w:rFonts w:ascii="Calibri" w:hAnsi="Calibri" w:eastAsia="宋体" w:cs="Times New Roman"/>
      <w:kern w:val="2"/>
      <w:sz w:val="32"/>
      <w:szCs w:val="24"/>
      <w:lang w:val="en-US" w:eastAsia="zh-CN" w:bidi="ar-SA"/>
    </w:rPr>
  </w:style>
  <w:style w:type="paragraph" w:customStyle="1" w:styleId="3">
    <w:name w:val="BodyTextIndent"/>
    <w:qFormat/>
    <w:uiPriority w:val="99"/>
    <w:pPr>
      <w:widowControl w:val="0"/>
      <w:spacing w:after="120"/>
      <w:ind w:left="420" w:leftChars="200"/>
      <w:jc w:val="both"/>
    </w:pPr>
    <w:rPr>
      <w:rFonts w:ascii="Calibri" w:hAnsi="Calibri" w:eastAsia="宋体" w:cs="Times New Roman"/>
      <w:kern w:val="2"/>
      <w:sz w:val="32"/>
      <w:szCs w:val="24"/>
      <w:lang w:val="en-US" w:eastAsia="zh-CN" w:bidi="ar-SA"/>
    </w:rPr>
  </w:style>
  <w:style w:type="paragraph" w:customStyle="1" w:styleId="4">
    <w:name w:val="BodyText"/>
    <w:qFormat/>
    <w:uiPriority w:val="99"/>
    <w:pPr>
      <w:widowControl w:val="0"/>
      <w:ind w:left="118"/>
      <w:jc w:val="both"/>
    </w:pPr>
    <w:rPr>
      <w:rFonts w:ascii="宋体" w:hAnsi="Calibri" w:eastAsia="仿宋_GB2312" w:cs="宋体"/>
      <w:kern w:val="2"/>
      <w:sz w:val="30"/>
      <w:szCs w:val="3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2024-12-16T02:38:00Z</dcterms:created>
  <dc:creator>齐征</dc:creator>
  <cp:lastModifiedBy>齐征</cp:lastModifiedBy>
  <dcterms:modified xsi:type="dcterms:W3CDTF">2024-12-16T02:39:52Z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2652BF48A1934C14A0A029E804946E83_11</vt:lpwstr>
  </property>
</Properties>
</file>